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4"/>
        <w:tblW w:w="9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3128"/>
        <w:gridCol w:w="1971"/>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文件名称</w:t>
            </w:r>
          </w:p>
        </w:tc>
        <w:tc>
          <w:tcPr>
            <w:tcW w:w="7061" w:type="dxa"/>
            <w:gridSpan w:val="3"/>
            <w:vAlign w:val="center"/>
          </w:tcPr>
          <w:p>
            <w:pPr>
              <w:spacing w:line="480" w:lineRule="exact"/>
              <w:jc w:val="center"/>
              <w:rPr>
                <w:rFonts w:ascii="黑体" w:hAnsi="黑体" w:eastAsia="黑体"/>
                <w:kern w:val="0"/>
                <w:sz w:val="24"/>
              </w:rPr>
            </w:pPr>
            <w:r>
              <w:rPr>
                <w:rFonts w:hint="eastAsia" w:ascii="黑体" w:hAnsi="黑体" w:eastAsia="黑体"/>
                <w:kern w:val="0"/>
                <w:sz w:val="24"/>
              </w:rPr>
              <w:t>教学查房规范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文件编号</w:t>
            </w:r>
          </w:p>
        </w:tc>
        <w:tc>
          <w:tcPr>
            <w:tcW w:w="312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KJ-GF-02</w:t>
            </w:r>
          </w:p>
        </w:tc>
        <w:tc>
          <w:tcPr>
            <w:tcW w:w="1971"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附件</w:t>
            </w:r>
          </w:p>
        </w:tc>
        <w:tc>
          <w:tcPr>
            <w:tcW w:w="1962"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制定／修订部门</w:t>
            </w:r>
          </w:p>
        </w:tc>
        <w:tc>
          <w:tcPr>
            <w:tcW w:w="312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教学办公室</w:t>
            </w:r>
          </w:p>
        </w:tc>
        <w:tc>
          <w:tcPr>
            <w:tcW w:w="1971"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制定／修订日期</w:t>
            </w:r>
          </w:p>
        </w:tc>
        <w:tc>
          <w:tcPr>
            <w:tcW w:w="1962"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2019年9月1日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审核部门</w:t>
            </w:r>
          </w:p>
        </w:tc>
        <w:tc>
          <w:tcPr>
            <w:tcW w:w="312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医院质量与安全管理委员会</w:t>
            </w:r>
          </w:p>
        </w:tc>
        <w:tc>
          <w:tcPr>
            <w:tcW w:w="1971"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生效日期</w:t>
            </w:r>
          </w:p>
        </w:tc>
        <w:tc>
          <w:tcPr>
            <w:tcW w:w="1962"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2020年3月1日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批</w:t>
            </w:r>
            <w:r>
              <w:rPr>
                <w:rFonts w:ascii="黑体" w:hAnsi="黑体" w:eastAsia="黑体"/>
                <w:kern w:val="0"/>
                <w:sz w:val="24"/>
              </w:rPr>
              <w:t xml:space="preserve"> </w:t>
            </w:r>
            <w:r>
              <w:rPr>
                <w:rFonts w:hint="eastAsia" w:ascii="黑体" w:hAnsi="黑体" w:eastAsia="黑体"/>
                <w:kern w:val="0"/>
                <w:sz w:val="24"/>
              </w:rPr>
              <w:t>准</w:t>
            </w:r>
            <w:r>
              <w:rPr>
                <w:rFonts w:ascii="黑体" w:hAnsi="黑体" w:eastAsia="黑体"/>
                <w:kern w:val="0"/>
                <w:sz w:val="24"/>
              </w:rPr>
              <w:t xml:space="preserve"> </w:t>
            </w:r>
            <w:r>
              <w:rPr>
                <w:rFonts w:hint="eastAsia" w:ascii="黑体" w:hAnsi="黑体" w:eastAsia="黑体"/>
                <w:kern w:val="0"/>
                <w:sz w:val="24"/>
              </w:rPr>
              <w:t>人</w:t>
            </w:r>
          </w:p>
        </w:tc>
        <w:tc>
          <w:tcPr>
            <w:tcW w:w="312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严想元</w:t>
            </w:r>
          </w:p>
        </w:tc>
        <w:tc>
          <w:tcPr>
            <w:tcW w:w="1971" w:type="dxa"/>
            <w:vAlign w:val="center"/>
          </w:tcPr>
          <w:p>
            <w:pPr>
              <w:spacing w:line="480" w:lineRule="exact"/>
              <w:jc w:val="center"/>
              <w:rPr>
                <w:rFonts w:ascii="黑体" w:hAnsi="黑体" w:eastAsia="黑体"/>
                <w:color w:val="FF0000"/>
                <w:kern w:val="0"/>
                <w:sz w:val="24"/>
              </w:rPr>
            </w:pPr>
            <w:r>
              <w:rPr>
                <w:rFonts w:hint="eastAsia" w:ascii="黑体" w:hAnsi="黑体" w:eastAsia="黑体"/>
                <w:kern w:val="0"/>
                <w:sz w:val="24"/>
              </w:rPr>
              <w:t>下次回顾时间</w:t>
            </w:r>
          </w:p>
        </w:tc>
        <w:tc>
          <w:tcPr>
            <w:tcW w:w="1962" w:type="dxa"/>
            <w:vAlign w:val="center"/>
          </w:tcPr>
          <w:p>
            <w:pPr>
              <w:spacing w:line="480" w:lineRule="exact"/>
              <w:jc w:val="center"/>
              <w:rPr>
                <w:rFonts w:ascii="黑体" w:hAnsi="黑体" w:eastAsia="黑体"/>
                <w:color w:val="FF0000"/>
                <w:kern w:val="0"/>
                <w:sz w:val="24"/>
              </w:rPr>
            </w:pPr>
            <w:r>
              <w:rPr>
                <w:rFonts w:hint="eastAsia" w:ascii="黑体" w:hAnsi="黑体" w:eastAsia="黑体"/>
                <w:color w:val="FF0000"/>
                <w:kern w:val="0"/>
                <w:sz w:val="24"/>
              </w:rPr>
              <w:t>2022年3月1日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版本号</w:t>
            </w:r>
          </w:p>
        </w:tc>
        <w:tc>
          <w:tcPr>
            <w:tcW w:w="312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4</w:t>
            </w:r>
          </w:p>
        </w:tc>
        <w:tc>
          <w:tcPr>
            <w:tcW w:w="1971"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页码／总页数</w:t>
            </w:r>
          </w:p>
        </w:tc>
        <w:tc>
          <w:tcPr>
            <w:tcW w:w="1962"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1/4</w:t>
            </w:r>
          </w:p>
        </w:tc>
      </w:tr>
    </w:tbl>
    <w:p/>
    <w:p>
      <w:pPr>
        <w:numPr>
          <w:ilvl w:val="0"/>
          <w:numId w:val="1"/>
        </w:numPr>
      </w:pPr>
      <w:r>
        <w:rPr>
          <w:rFonts w:hint="eastAsia"/>
          <w:b/>
          <w:bCs/>
        </w:rPr>
        <w:t>目的</w:t>
      </w:r>
      <w:r>
        <w:rPr>
          <w:rFonts w:hint="eastAsia"/>
        </w:rPr>
        <w:t>：</w:t>
      </w:r>
    </w:p>
    <w:p>
      <w:pPr>
        <w:widowControl/>
        <w:spacing w:line="480" w:lineRule="exact"/>
        <w:ind w:firstLine="480" w:firstLineChars="200"/>
        <w:jc w:val="left"/>
        <w:rPr>
          <w:rFonts w:ascii="宋体" w:hAnsi="宋体" w:eastAsia="宋体" w:cs="宋体"/>
          <w:kern w:val="0"/>
          <w:sz w:val="24"/>
        </w:rPr>
      </w:pPr>
      <w:r>
        <w:rPr>
          <w:rFonts w:hint="eastAsia" w:ascii="宋体" w:hAnsi="宋体" w:eastAsia="宋体" w:cs="宋体"/>
          <w:kern w:val="0"/>
          <w:sz w:val="24"/>
        </w:rPr>
        <w:t>为了掌握教学查房方法，培养实习生临床思维能力和实践能力，提高临床教学质量特制定本规范。</w:t>
      </w:r>
    </w:p>
    <w:p>
      <w:pPr>
        <w:numPr>
          <w:ilvl w:val="0"/>
          <w:numId w:val="1"/>
        </w:numPr>
        <w:rPr>
          <w:b/>
          <w:bCs/>
        </w:rPr>
      </w:pPr>
      <w:r>
        <w:rPr>
          <w:rFonts w:hint="eastAsia"/>
          <w:b/>
          <w:bCs/>
        </w:rPr>
        <w:t>范围:</w:t>
      </w:r>
    </w:p>
    <w:p>
      <w:pPr>
        <w:rPr>
          <w:rFonts w:ascii="宋体" w:hAnsi="宋体" w:eastAsia="宋体" w:cs="宋体"/>
          <w:kern w:val="0"/>
          <w:sz w:val="24"/>
        </w:rPr>
      </w:pPr>
      <w:r>
        <w:rPr>
          <w:rFonts w:hint="eastAsia" w:ascii="宋体" w:hAnsi="宋体" w:eastAsia="宋体" w:cs="宋体"/>
          <w:kern w:val="0"/>
          <w:sz w:val="24"/>
        </w:rPr>
        <w:t>临床指导教师、实习生、住院医师规培生。</w:t>
      </w:r>
    </w:p>
    <w:p>
      <w:pPr>
        <w:numPr>
          <w:ilvl w:val="0"/>
          <w:numId w:val="1"/>
        </w:numPr>
        <w:rPr>
          <w:rFonts w:ascii="宋体" w:hAnsi="宋体" w:eastAsia="宋体" w:cs="宋体"/>
          <w:b/>
          <w:bCs/>
          <w:kern w:val="0"/>
          <w:sz w:val="24"/>
        </w:rPr>
      </w:pPr>
      <w:r>
        <w:rPr>
          <w:rFonts w:hint="eastAsia" w:ascii="宋体" w:hAnsi="宋体" w:eastAsia="宋体" w:cs="宋体"/>
          <w:b/>
          <w:bCs/>
          <w:kern w:val="0"/>
          <w:sz w:val="24"/>
        </w:rPr>
        <w:t>定义</w:t>
      </w:r>
    </w:p>
    <w:p>
      <w:pPr>
        <w:rPr>
          <w:rFonts w:ascii="宋体" w:hAnsi="宋体" w:eastAsia="宋体" w:cs="宋体"/>
          <w:kern w:val="0"/>
          <w:sz w:val="24"/>
        </w:rPr>
      </w:pPr>
      <w:r>
        <w:rPr>
          <w:rFonts w:hint="eastAsia" w:ascii="宋体" w:hAnsi="宋体" w:eastAsia="宋体" w:cs="宋体"/>
          <w:kern w:val="0"/>
          <w:sz w:val="24"/>
        </w:rPr>
        <w:t xml:space="preserve">   无</w:t>
      </w:r>
    </w:p>
    <w:p>
      <w:pPr>
        <w:rPr>
          <w:b/>
          <w:bCs/>
        </w:rPr>
      </w:pPr>
      <w:r>
        <w:rPr>
          <w:rFonts w:hint="eastAsia"/>
          <w:b/>
          <w:bCs/>
        </w:rPr>
        <w:t>4.内容:</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4.1基本要求:</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4.1.1 频率: 教学査房每月安排一次，应单独安排时间，尽量减少对日常医疗工作的影响</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4.1.2 参加人员: 教学查房由主治医师及以上职称教师主持，也可根据病区情况由教学经验丰富的高年住院医师主持，实习医生参加。</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4.2 教学准备</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4.2.1 病例选择:教学查房前主持医师认真选择典型病例或利于对某一症候群进行鉴别分析的病例。</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4.2.2 复习: 教学查房前主持医师告知实习生所查的病例，实习生熟悉患者及病情，复习有关理论知识，做好准备工作。</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4.2.3 熟悉病情: 提前1天査看患者和病历，掌握病情演变、发展及近期存在的问题。</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4.2.4 确定教学目标: 着重解决当前存在的主要诊断和治疗问题。</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4.2.5 拓展学习: 参考相关专业知识及新进展资料。</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4.2.6 书写教案: 主持教学査房的医师事先写出教学查房教案。</w:t>
      </w:r>
    </w:p>
    <w:tbl>
      <w:tblPr>
        <w:tblStyle w:val="4"/>
        <w:tblW w:w="9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3128"/>
        <w:gridCol w:w="1971"/>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文件名称</w:t>
            </w:r>
          </w:p>
        </w:tc>
        <w:tc>
          <w:tcPr>
            <w:tcW w:w="7061" w:type="dxa"/>
            <w:gridSpan w:val="3"/>
            <w:vAlign w:val="center"/>
          </w:tcPr>
          <w:p>
            <w:pPr>
              <w:spacing w:line="480" w:lineRule="exact"/>
              <w:jc w:val="center"/>
              <w:rPr>
                <w:rFonts w:ascii="黑体" w:hAnsi="黑体" w:eastAsia="黑体"/>
                <w:kern w:val="0"/>
                <w:sz w:val="24"/>
              </w:rPr>
            </w:pPr>
            <w:r>
              <w:rPr>
                <w:rFonts w:hint="eastAsia" w:ascii="黑体" w:hAnsi="黑体" w:eastAsia="黑体"/>
                <w:kern w:val="0"/>
                <w:sz w:val="24"/>
              </w:rPr>
              <w:t>教学查房规范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文件编号</w:t>
            </w:r>
          </w:p>
        </w:tc>
        <w:tc>
          <w:tcPr>
            <w:tcW w:w="312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KJ-GF-02</w:t>
            </w:r>
          </w:p>
        </w:tc>
        <w:tc>
          <w:tcPr>
            <w:tcW w:w="1971"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附件</w:t>
            </w:r>
          </w:p>
        </w:tc>
        <w:tc>
          <w:tcPr>
            <w:tcW w:w="1962"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版本号</w:t>
            </w:r>
          </w:p>
        </w:tc>
        <w:tc>
          <w:tcPr>
            <w:tcW w:w="312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4</w:t>
            </w:r>
          </w:p>
        </w:tc>
        <w:tc>
          <w:tcPr>
            <w:tcW w:w="1971"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页码／总页数</w:t>
            </w:r>
          </w:p>
        </w:tc>
        <w:tc>
          <w:tcPr>
            <w:tcW w:w="1962"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2/4</w:t>
            </w:r>
          </w:p>
        </w:tc>
      </w:tr>
    </w:tbl>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 实施步骤:</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4.3.1 进出病房顺序: 按主持査房的医师、分管床位医师、其他医师(职称由高到低)、实习生的顺序进出病房。</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4.3.2 站位:主持医师一般站立患者的右</w:t>
      </w:r>
      <w:r>
        <w:rPr>
          <w:rFonts w:hint="eastAsia" w:ascii="宋体" w:hAnsi="宋体" w:eastAsia="宋体" w:cs="宋体"/>
          <w:kern w:val="0"/>
          <w:sz w:val="24"/>
          <w:lang w:eastAsia="zh-CN"/>
        </w:rPr>
        <w:t>侧</w:t>
      </w:r>
      <w:r>
        <w:rPr>
          <w:rFonts w:hint="eastAsia" w:ascii="宋体" w:hAnsi="宋体" w:eastAsia="宋体" w:cs="宋体"/>
          <w:kern w:val="0"/>
          <w:sz w:val="24"/>
        </w:rPr>
        <w:t>:实习生与主持医师相对而立(站于患者的左侧):分管床位的医师站立于病人床尾(人数较多时，住院医师也可站立于实习医生一侧):其他医师则随机站位。</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4.3.3 汇报病历</w:t>
      </w:r>
    </w:p>
    <w:p>
      <w:pPr>
        <w:widowControl/>
        <w:spacing w:line="480" w:lineRule="exact"/>
        <w:jc w:val="left"/>
      </w:pPr>
      <w:r>
        <w:rPr>
          <w:rFonts w:hint="eastAsia" w:ascii="宋体" w:hAnsi="宋体" w:eastAsia="宋体" w:cs="宋体"/>
          <w:kern w:val="0"/>
          <w:sz w:val="24"/>
        </w:rPr>
        <w:t>4.3.3.1汇报病例: 分管床位实习生将病历交主持医师后，向主持医师汇报病例情况，汇报包括一般情況(姓名、年龄、性别、职业等)、入院情况及诊断、住院后病情变化、诊断效果及重要的临床检査结果等内容(时间3～5min)。要求汇报的实习生语言流利、表达精</w:t>
      </w:r>
      <w:r>
        <w:rPr>
          <w:rFonts w:hint="eastAsia" w:ascii="宋体" w:hAnsi="宋体" w:eastAsia="宋体" w:cs="宋体"/>
          <w:kern w:val="0"/>
          <w:sz w:val="24"/>
          <w:lang w:eastAsia="zh-CN"/>
        </w:rPr>
        <w:t>炼</w:t>
      </w:r>
      <w:r>
        <w:rPr>
          <w:rFonts w:hint="eastAsia"/>
        </w:rPr>
        <w:t>、重点突出。</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4.3.3.2 教师引导，引导实习医生掌握正确汇报病史的要领。汇报完毕，主管病床的下级医师可作必要补充说明(补充实习生汇报内容中的不足，并提出需要解决的问题)。此过程一般应在床边进行，如果对</w:t>
      </w:r>
      <w:r>
        <w:rPr>
          <w:rFonts w:hint="eastAsia" w:ascii="宋体" w:hAnsi="宋体" w:eastAsia="宋体" w:cs="宋体"/>
          <w:kern w:val="0"/>
          <w:sz w:val="24"/>
          <w:lang w:eastAsia="zh-CN"/>
        </w:rPr>
        <w:t>患</w:t>
      </w:r>
      <w:r>
        <w:rPr>
          <w:rFonts w:hint="eastAsia" w:ascii="宋体" w:hAnsi="宋体" w:eastAsia="宋体" w:cs="宋体"/>
          <w:kern w:val="0"/>
          <w:sz w:val="24"/>
        </w:rPr>
        <w:t>者有不良影响，也可在示教室或办公室进行。</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4.3.4 教学查房:</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4.3.4.1 问候: 主持医师向患者问候，请患者予以配合，并从中了解患者精神状态、语言对答和反应情况。</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4.3.4.2 体格检查:</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4.3.4.2.1 评价指导: 对患者进行重点查体，指导实习生作相关的体检，观察实习生是否发现阳性体征，予以评价和指导。</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4.3.4.2.2 示教: 纠正实习生在问诊与査体中存在的问题，做必要的示范、示教。在临床不许可的情况下，也可以模拟方式进行。</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4.3.4.2.3 爱伤观念: 检查过程注意手法规范，动作轻，体现爱伤观念，查体部位不应暴露太久，时间不宜太长。</w:t>
      </w:r>
    </w:p>
    <w:tbl>
      <w:tblPr>
        <w:tblStyle w:val="4"/>
        <w:tblW w:w="9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3128"/>
        <w:gridCol w:w="1971"/>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文件名称</w:t>
            </w:r>
          </w:p>
        </w:tc>
        <w:tc>
          <w:tcPr>
            <w:tcW w:w="7061" w:type="dxa"/>
            <w:gridSpan w:val="3"/>
            <w:vAlign w:val="center"/>
          </w:tcPr>
          <w:p>
            <w:pPr>
              <w:spacing w:line="480" w:lineRule="exact"/>
              <w:jc w:val="center"/>
              <w:rPr>
                <w:rFonts w:ascii="黑体" w:hAnsi="黑体" w:eastAsia="黑体"/>
                <w:kern w:val="0"/>
                <w:sz w:val="24"/>
              </w:rPr>
            </w:pPr>
            <w:r>
              <w:rPr>
                <w:rFonts w:hint="eastAsia" w:ascii="黑体" w:hAnsi="黑体" w:eastAsia="黑体"/>
                <w:kern w:val="0"/>
                <w:sz w:val="24"/>
              </w:rPr>
              <w:t>教学查房规范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文件编号</w:t>
            </w:r>
          </w:p>
        </w:tc>
        <w:tc>
          <w:tcPr>
            <w:tcW w:w="312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KJ-GF-02</w:t>
            </w:r>
          </w:p>
        </w:tc>
        <w:tc>
          <w:tcPr>
            <w:tcW w:w="1971"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附件</w:t>
            </w:r>
          </w:p>
        </w:tc>
        <w:tc>
          <w:tcPr>
            <w:tcW w:w="1962"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版本号</w:t>
            </w:r>
          </w:p>
        </w:tc>
        <w:tc>
          <w:tcPr>
            <w:tcW w:w="312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4</w:t>
            </w:r>
          </w:p>
        </w:tc>
        <w:tc>
          <w:tcPr>
            <w:tcW w:w="1971"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页码／总页数</w:t>
            </w:r>
          </w:p>
        </w:tc>
        <w:tc>
          <w:tcPr>
            <w:tcW w:w="1962"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3/4</w:t>
            </w:r>
          </w:p>
        </w:tc>
      </w:tr>
    </w:tbl>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4.3.4.3 要求: 主持医师言传身教，体恤病人，严格执行保护性医疗制度，培养学生树立良好的医德医风。</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4.3.4.4 健康教育: 向患者做好病情解释和安慰工作，并适当进行健康教育。</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4.3.5 提问与讨论：</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4.3.5.1 讨论分析: 回到示教室或办公室，进行讲解、分析、提问。</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4.3.5.2 提问:主持医师根据查房中的实际情况提问有关基本理论知识或基本操作的问题。提问可以穿插于病历汇报、示教性查体、讨论分析等查房的整个过程中</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4.3.5.3 引导: 鼓励实习生主动提出自己对査房病例存在问题的看法和需要解决的问题。</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4.3.6病情分析:</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4.3.6.1分析: 主持医师根据查房过程中实习生存在的问题，结合患者实际情況，对病情进行较系统的分折。分析的重点内容放在结合患者特点，运用国内外新进展、新观点，分析病人的发病原因、发病机理、诊断与鉴别诊断、制定具体的治疗措施等。特别要解释该患者所出现的异常症状和体征。</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4.3.6.2讨论: 分析时也可以围绕几个问题进行提问，由实习生、分管医师讨论回答，以活跃查房气氛.</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4.3.6.3 启发引导: 紧密围绕本次教学査房目的，以问题为中心，结合“三基”进行启发式教学，注意临床思维培养。</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4.3.6.4 理论联系实际:突出重点难点、条理清晰，结</w:t>
      </w:r>
      <w:r>
        <w:rPr>
          <w:rFonts w:hint="eastAsia" w:ascii="宋体" w:hAnsi="宋体" w:eastAsia="宋体" w:cs="宋体"/>
          <w:kern w:val="0"/>
          <w:sz w:val="24"/>
          <w:lang w:eastAsia="zh-CN"/>
        </w:rPr>
        <w:t>合</w:t>
      </w:r>
      <w:r>
        <w:rPr>
          <w:rFonts w:hint="eastAsia" w:ascii="宋体" w:hAnsi="宋体" w:eastAsia="宋体" w:cs="宋体"/>
          <w:kern w:val="0"/>
          <w:sz w:val="24"/>
        </w:rPr>
        <w:t>病例，适当介绍学科新进展。</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4.3.6.5 调动气氛:注意教学查房有别于小讲课、见习带教、病例讨论，应调动实习生主动参与查房，活跃教学气氛。</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4.3.7 归纳总结:</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4.3.7.1 总结: 总结本次教学査房是否达到预期的目标</w:t>
      </w:r>
    </w:p>
    <w:tbl>
      <w:tblPr>
        <w:tblStyle w:val="4"/>
        <w:tblW w:w="9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3128"/>
        <w:gridCol w:w="1971"/>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文件名称</w:t>
            </w:r>
          </w:p>
        </w:tc>
        <w:tc>
          <w:tcPr>
            <w:tcW w:w="7061" w:type="dxa"/>
            <w:gridSpan w:val="3"/>
            <w:vAlign w:val="center"/>
          </w:tcPr>
          <w:p>
            <w:pPr>
              <w:spacing w:line="480" w:lineRule="exact"/>
              <w:jc w:val="center"/>
              <w:rPr>
                <w:rFonts w:ascii="黑体" w:hAnsi="黑体" w:eastAsia="黑体"/>
                <w:kern w:val="0"/>
                <w:sz w:val="24"/>
              </w:rPr>
            </w:pPr>
            <w:r>
              <w:rPr>
                <w:rFonts w:hint="eastAsia" w:ascii="黑体" w:hAnsi="黑体" w:eastAsia="黑体"/>
                <w:kern w:val="0"/>
                <w:sz w:val="24"/>
              </w:rPr>
              <w:t>教学查房规范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文件编号</w:t>
            </w:r>
          </w:p>
        </w:tc>
        <w:tc>
          <w:tcPr>
            <w:tcW w:w="312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KJ-GF-01</w:t>
            </w:r>
          </w:p>
        </w:tc>
        <w:tc>
          <w:tcPr>
            <w:tcW w:w="1971"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附件</w:t>
            </w:r>
          </w:p>
        </w:tc>
        <w:tc>
          <w:tcPr>
            <w:tcW w:w="1962"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96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版本号</w:t>
            </w:r>
          </w:p>
        </w:tc>
        <w:tc>
          <w:tcPr>
            <w:tcW w:w="3128"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4</w:t>
            </w:r>
          </w:p>
        </w:tc>
        <w:tc>
          <w:tcPr>
            <w:tcW w:w="1971"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页码／总页数</w:t>
            </w:r>
          </w:p>
        </w:tc>
        <w:tc>
          <w:tcPr>
            <w:tcW w:w="1962" w:type="dxa"/>
            <w:vAlign w:val="center"/>
          </w:tcPr>
          <w:p>
            <w:pPr>
              <w:spacing w:line="480" w:lineRule="exact"/>
              <w:jc w:val="center"/>
              <w:rPr>
                <w:rFonts w:ascii="黑体" w:hAnsi="黑体" w:eastAsia="黑体"/>
                <w:kern w:val="0"/>
                <w:sz w:val="24"/>
              </w:rPr>
            </w:pPr>
            <w:r>
              <w:rPr>
                <w:rFonts w:hint="eastAsia" w:ascii="黑体" w:hAnsi="黑体" w:eastAsia="黑体"/>
                <w:kern w:val="0"/>
                <w:sz w:val="24"/>
              </w:rPr>
              <w:t>4/4</w:t>
            </w:r>
          </w:p>
        </w:tc>
      </w:tr>
    </w:tbl>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4.3.7.2 点评: 点评实习生在教学查房中的表现，提出改进意见。</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4.3.7.3 布置任务: 根据需要，提出问题和布置下一次査房内容，需要实习生准备。宣布本次教学查房结束。</w:t>
      </w:r>
    </w:p>
    <w:p>
      <w:pPr>
        <w:widowControl/>
        <w:spacing w:line="480" w:lineRule="exact"/>
        <w:jc w:val="left"/>
        <w:rPr>
          <w:rFonts w:ascii="宋体" w:hAnsi="宋体" w:eastAsia="宋体" w:cs="宋体"/>
          <w:kern w:val="0"/>
          <w:sz w:val="24"/>
        </w:rPr>
      </w:pPr>
      <w:r>
        <w:rPr>
          <w:rFonts w:hint="eastAsia" w:ascii="宋体" w:hAnsi="宋体" w:eastAsia="宋体" w:cs="宋体"/>
          <w:kern w:val="0"/>
          <w:sz w:val="24"/>
        </w:rPr>
        <w:t>4.3.8 记录: 教学查房时实习生和分管床位的医师应作好查房记录。</w:t>
      </w:r>
    </w:p>
    <w:p>
      <w:pPr>
        <w:widowControl/>
        <w:spacing w:line="480" w:lineRule="exact"/>
        <w:jc w:val="left"/>
        <w:rPr>
          <w:rFonts w:hint="eastAsia" w:ascii="宋体" w:hAnsi="宋体" w:cs="宋体"/>
          <w:b/>
          <w:kern w:val="0"/>
          <w:sz w:val="24"/>
        </w:rPr>
      </w:pPr>
      <w:r>
        <w:rPr>
          <w:rFonts w:hint="eastAsia" w:ascii="宋体" w:hAnsi="宋体" w:cs="宋体"/>
          <w:b/>
          <w:kern w:val="0"/>
          <w:sz w:val="24"/>
          <w:lang w:eastAsia="zh-CN"/>
        </w:rPr>
        <w:t>参考</w:t>
      </w:r>
      <w:bookmarkStart w:id="0" w:name="_GoBack"/>
      <w:bookmarkEnd w:id="0"/>
      <w:r>
        <w:rPr>
          <w:rFonts w:hint="eastAsia" w:ascii="宋体" w:hAnsi="宋体" w:cs="宋体"/>
          <w:b/>
          <w:kern w:val="0"/>
          <w:sz w:val="24"/>
        </w:rPr>
        <w:t>文件</w:t>
      </w:r>
    </w:p>
    <w:p>
      <w:pPr>
        <w:widowControl/>
        <w:spacing w:line="480" w:lineRule="exact"/>
        <w:jc w:val="left"/>
        <w:rPr>
          <w:rFonts w:ascii="宋体" w:cs="宋体"/>
          <w:b/>
          <w:kern w:val="0"/>
          <w:sz w:val="24"/>
        </w:rPr>
      </w:pPr>
      <w:r>
        <w:rPr>
          <w:rFonts w:hint="eastAsia" w:ascii="宋体" w:hAnsi="宋体" w:cs="宋体"/>
          <w:b/>
          <w:kern w:val="0"/>
          <w:sz w:val="24"/>
        </w:rPr>
        <w:t xml:space="preserve"> </w:t>
      </w:r>
      <w:r>
        <w:rPr>
          <w:rFonts w:hint="eastAsia" w:ascii="宋体" w:hAnsi="宋体" w:cs="宋体"/>
          <w:b w:val="0"/>
          <w:bCs/>
          <w:kern w:val="0"/>
          <w:sz w:val="24"/>
        </w:rPr>
        <w:t>无</w:t>
      </w:r>
    </w:p>
    <w:p>
      <w:pPr>
        <w:widowControl/>
        <w:spacing w:line="480" w:lineRule="exact"/>
        <w:jc w:val="left"/>
        <w:rPr>
          <w:rFonts w:ascii="宋体" w:cs="宋体"/>
          <w:b/>
          <w:kern w:val="0"/>
          <w:sz w:val="24"/>
        </w:rPr>
      </w:pPr>
      <w:r>
        <w:rPr>
          <w:rFonts w:ascii="宋体" w:hAnsi="宋体" w:cs="宋体"/>
          <w:b/>
          <w:kern w:val="0"/>
          <w:sz w:val="24"/>
        </w:rPr>
        <w:t>6.</w:t>
      </w:r>
      <w:r>
        <w:rPr>
          <w:rFonts w:hint="eastAsia" w:ascii="宋体" w:hAnsi="宋体" w:cs="宋体"/>
          <w:b/>
          <w:kern w:val="0"/>
          <w:sz w:val="24"/>
        </w:rPr>
        <w:t>表单附件</w:t>
      </w:r>
    </w:p>
    <w:p>
      <w:pPr>
        <w:widowControl/>
        <w:spacing w:line="480" w:lineRule="exact"/>
        <w:jc w:val="left"/>
        <w:rPr>
          <w:rFonts w:ascii="宋体" w:hAnsi="宋体" w:eastAsia="宋体" w:cs="宋体"/>
          <w:kern w:val="0"/>
          <w:sz w:val="24"/>
        </w:rPr>
      </w:pPr>
      <w:r>
        <w:rPr>
          <w:rFonts w:hint="eastAsia" w:ascii="宋体" w:hAnsi="宋体" w:cs="宋体"/>
          <w:kern w:val="0"/>
          <w:sz w:val="24"/>
        </w:rPr>
        <w:t xml:space="preserve"> 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BFD14C"/>
    <w:multiLevelType w:val="singleLevel"/>
    <w:tmpl w:val="F0BFD14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1E91"/>
    <w:rsid w:val="000B3D6D"/>
    <w:rsid w:val="000B649E"/>
    <w:rsid w:val="000C2769"/>
    <w:rsid w:val="000F0E12"/>
    <w:rsid w:val="00130711"/>
    <w:rsid w:val="00140D18"/>
    <w:rsid w:val="00211381"/>
    <w:rsid w:val="0027043D"/>
    <w:rsid w:val="002A07E8"/>
    <w:rsid w:val="0037283A"/>
    <w:rsid w:val="00743E79"/>
    <w:rsid w:val="00776121"/>
    <w:rsid w:val="007D59E0"/>
    <w:rsid w:val="00870FAE"/>
    <w:rsid w:val="008F0FC1"/>
    <w:rsid w:val="008F1E2E"/>
    <w:rsid w:val="00981105"/>
    <w:rsid w:val="00A74581"/>
    <w:rsid w:val="00BA4772"/>
    <w:rsid w:val="00CE11FF"/>
    <w:rsid w:val="00D01E91"/>
    <w:rsid w:val="00D440D1"/>
    <w:rsid w:val="00D63C20"/>
    <w:rsid w:val="00DA3E32"/>
    <w:rsid w:val="00DF7A38"/>
    <w:rsid w:val="1F6F10E4"/>
    <w:rsid w:val="252B7848"/>
    <w:rsid w:val="36B53E51"/>
    <w:rsid w:val="43127E6B"/>
    <w:rsid w:val="468A0494"/>
    <w:rsid w:val="4B926BE1"/>
    <w:rsid w:val="4DDD1154"/>
    <w:rsid w:val="5BB004E7"/>
    <w:rsid w:val="7F16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335</Words>
  <Characters>1912</Characters>
  <Lines>15</Lines>
  <Paragraphs>4</Paragraphs>
  <TotalTime>75</TotalTime>
  <ScaleCrop>false</ScaleCrop>
  <LinksUpToDate>false</LinksUpToDate>
  <CharactersWithSpaces>2243</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2019-10-12T10:10:00Z</dcterms:created>
  <dc:creator>Administrator</dc:creator>
  <cp:lastModifiedBy>曦月</cp:lastModifiedBy>
  <dcterms:modified xsi:type="dcterms:W3CDTF">2019-10-16T08:13:13Z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