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B40" w:rsidRDefault="00EC383B">
      <w:pPr>
        <w:pStyle w:val="1"/>
        <w:spacing w:before="0" w:after="0" w:line="240" w:lineRule="auto"/>
        <w:jc w:val="center"/>
        <w:rPr>
          <w:rFonts w:ascii="方正小标宋简体" w:eastAsia="方正小标宋简体"/>
          <w:b w:val="0"/>
          <w:sz w:val="36"/>
          <w:szCs w:val="36"/>
        </w:rPr>
      </w:pPr>
      <w:bookmarkStart w:id="0" w:name="_Toc334024275"/>
      <w:bookmarkStart w:id="1" w:name="_Toc335661865"/>
      <w:r>
        <w:rPr>
          <w:rFonts w:ascii="方正小标宋简体" w:eastAsia="方正小标宋简体" w:hint="eastAsia"/>
          <w:b w:val="0"/>
          <w:sz w:val="36"/>
          <w:szCs w:val="36"/>
        </w:rPr>
        <w:t>湖北省2017年三级医院临床重点专科评分标准</w:t>
      </w:r>
      <w:bookmarkEnd w:id="0"/>
      <w:bookmarkEnd w:id="1"/>
    </w:p>
    <w:p w:rsidR="00070B40" w:rsidRDefault="00EC383B">
      <w:pPr>
        <w:jc w:val="center"/>
        <w:rPr>
          <w:rFonts w:ascii="仿宋_GB2312" w:eastAsia="仿宋_GB2312" w:hAnsi="宋体"/>
          <w:snapToGrid w:val="0"/>
          <w:kern w:val="0"/>
          <w:sz w:val="28"/>
          <w:szCs w:val="28"/>
        </w:rPr>
      </w:pPr>
      <w:r>
        <w:rPr>
          <w:rFonts w:ascii="仿宋_GB2312" w:eastAsia="仿宋_GB2312" w:hAnsi="宋体" w:hint="eastAsia"/>
          <w:bCs/>
          <w:spacing w:val="20"/>
          <w:sz w:val="28"/>
          <w:szCs w:val="28"/>
        </w:rPr>
        <w:t>（适用于感染性疾病科专业）</w:t>
      </w:r>
    </w:p>
    <w:tbl>
      <w:tblPr>
        <w:tblW w:w="14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20"/>
        <w:gridCol w:w="678"/>
        <w:gridCol w:w="3474"/>
        <w:gridCol w:w="720"/>
        <w:gridCol w:w="4680"/>
        <w:gridCol w:w="4481"/>
      </w:tblGrid>
      <w:tr w:rsidR="00070B40">
        <w:trPr>
          <w:trHeight w:val="454"/>
          <w:tblHeader/>
          <w:jc w:val="center"/>
        </w:trPr>
        <w:tc>
          <w:tcPr>
            <w:tcW w:w="520" w:type="dxa"/>
            <w:tcMar>
              <w:top w:w="15" w:type="dxa"/>
              <w:left w:w="15" w:type="dxa"/>
              <w:bottom w:w="0" w:type="dxa"/>
              <w:right w:w="15" w:type="dxa"/>
            </w:tcMar>
            <w:vAlign w:val="center"/>
          </w:tcPr>
          <w:p w:rsidR="00070B40" w:rsidRDefault="00EC383B">
            <w:pPr>
              <w:adjustRightInd w:val="0"/>
              <w:snapToGrid w:val="0"/>
              <w:jc w:val="center"/>
              <w:rPr>
                <w:rFonts w:ascii="楷体_GB2312" w:eastAsia="楷体_GB2312" w:hAnsi="宋体"/>
                <w:b/>
                <w:snapToGrid w:val="0"/>
                <w:kern w:val="0"/>
                <w:szCs w:val="21"/>
              </w:rPr>
            </w:pPr>
            <w:r>
              <w:rPr>
                <w:rFonts w:ascii="楷体_GB2312" w:eastAsia="楷体_GB2312" w:hAnsi="宋体" w:hint="eastAsia"/>
                <w:b/>
                <w:snapToGrid w:val="0"/>
                <w:kern w:val="0"/>
                <w:szCs w:val="21"/>
              </w:rPr>
              <w:t>序号</w:t>
            </w:r>
          </w:p>
        </w:tc>
        <w:tc>
          <w:tcPr>
            <w:tcW w:w="4152" w:type="dxa"/>
            <w:gridSpan w:val="2"/>
            <w:tcMar>
              <w:top w:w="15" w:type="dxa"/>
              <w:left w:w="15" w:type="dxa"/>
              <w:bottom w:w="0" w:type="dxa"/>
              <w:right w:w="15" w:type="dxa"/>
            </w:tcMar>
            <w:vAlign w:val="center"/>
          </w:tcPr>
          <w:p w:rsidR="00070B40" w:rsidRDefault="00EC383B">
            <w:pPr>
              <w:adjustRightInd w:val="0"/>
              <w:snapToGrid w:val="0"/>
              <w:jc w:val="center"/>
              <w:rPr>
                <w:rFonts w:ascii="楷体_GB2312" w:eastAsia="楷体_GB2312" w:hAnsi="宋体"/>
                <w:b/>
                <w:snapToGrid w:val="0"/>
                <w:kern w:val="0"/>
                <w:szCs w:val="21"/>
              </w:rPr>
            </w:pPr>
            <w:r>
              <w:rPr>
                <w:rFonts w:ascii="楷体_GB2312" w:eastAsia="楷体_GB2312" w:hAnsi="宋体" w:hint="eastAsia"/>
                <w:b/>
                <w:snapToGrid w:val="0"/>
                <w:kern w:val="0"/>
                <w:szCs w:val="21"/>
              </w:rPr>
              <w:t>考核内容</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楷体_GB2312" w:eastAsia="楷体_GB2312" w:hAnsi="宋体"/>
                <w:b/>
                <w:snapToGrid w:val="0"/>
                <w:kern w:val="0"/>
                <w:szCs w:val="21"/>
              </w:rPr>
            </w:pPr>
            <w:r>
              <w:rPr>
                <w:rFonts w:ascii="楷体_GB2312" w:eastAsia="楷体_GB2312" w:hAnsi="宋体" w:hint="eastAsia"/>
                <w:b/>
                <w:snapToGrid w:val="0"/>
                <w:kern w:val="0"/>
                <w:szCs w:val="21"/>
              </w:rPr>
              <w:t>标准分</w:t>
            </w:r>
          </w:p>
        </w:tc>
        <w:tc>
          <w:tcPr>
            <w:tcW w:w="4680" w:type="dxa"/>
            <w:tcMar>
              <w:top w:w="15" w:type="dxa"/>
              <w:left w:w="15" w:type="dxa"/>
              <w:bottom w:w="0" w:type="dxa"/>
              <w:right w:w="15" w:type="dxa"/>
            </w:tcMar>
            <w:vAlign w:val="center"/>
          </w:tcPr>
          <w:p w:rsidR="00070B40" w:rsidRDefault="00EC383B">
            <w:pPr>
              <w:adjustRightInd w:val="0"/>
              <w:snapToGrid w:val="0"/>
              <w:jc w:val="center"/>
              <w:rPr>
                <w:rFonts w:ascii="楷体_GB2312" w:eastAsia="楷体_GB2312" w:hAnsi="宋体"/>
                <w:b/>
                <w:snapToGrid w:val="0"/>
                <w:kern w:val="0"/>
                <w:szCs w:val="21"/>
              </w:rPr>
            </w:pPr>
            <w:r>
              <w:rPr>
                <w:rFonts w:ascii="楷体_GB2312" w:eastAsia="楷体_GB2312" w:hAnsi="宋体" w:hint="eastAsia"/>
                <w:b/>
                <w:snapToGrid w:val="0"/>
                <w:kern w:val="0"/>
                <w:szCs w:val="21"/>
              </w:rPr>
              <w:t>考核方法</w:t>
            </w:r>
          </w:p>
        </w:tc>
        <w:tc>
          <w:tcPr>
            <w:tcW w:w="4481" w:type="dxa"/>
            <w:tcMar>
              <w:top w:w="15" w:type="dxa"/>
              <w:left w:w="15" w:type="dxa"/>
              <w:bottom w:w="0" w:type="dxa"/>
              <w:right w:w="15" w:type="dxa"/>
            </w:tcMar>
            <w:vAlign w:val="center"/>
          </w:tcPr>
          <w:p w:rsidR="00070B40" w:rsidRDefault="00EC383B">
            <w:pPr>
              <w:adjustRightInd w:val="0"/>
              <w:snapToGrid w:val="0"/>
              <w:jc w:val="center"/>
              <w:rPr>
                <w:rFonts w:ascii="楷体_GB2312" w:eastAsia="楷体_GB2312" w:hAnsi="宋体"/>
                <w:b/>
                <w:snapToGrid w:val="0"/>
                <w:kern w:val="0"/>
                <w:szCs w:val="21"/>
              </w:rPr>
            </w:pPr>
            <w:r>
              <w:rPr>
                <w:rFonts w:ascii="楷体_GB2312" w:eastAsia="楷体_GB2312" w:hAnsi="宋体" w:hint="eastAsia"/>
                <w:b/>
                <w:snapToGrid w:val="0"/>
                <w:kern w:val="0"/>
                <w:szCs w:val="21"/>
              </w:rPr>
              <w:t>评分标准</w:t>
            </w:r>
          </w:p>
        </w:tc>
      </w:tr>
      <w:tr w:rsidR="00070B40">
        <w:trPr>
          <w:trHeight w:val="340"/>
          <w:jc w:val="center"/>
        </w:trPr>
        <w:tc>
          <w:tcPr>
            <w:tcW w:w="5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一</w:t>
            </w:r>
          </w:p>
        </w:tc>
        <w:tc>
          <w:tcPr>
            <w:tcW w:w="4152" w:type="dxa"/>
            <w:gridSpan w:val="2"/>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基础条件</w:t>
            </w:r>
          </w:p>
        </w:tc>
        <w:tc>
          <w:tcPr>
            <w:tcW w:w="720" w:type="dxa"/>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160</w:t>
            </w:r>
          </w:p>
        </w:tc>
        <w:tc>
          <w:tcPr>
            <w:tcW w:w="9161" w:type="dxa"/>
            <w:gridSpan w:val="2"/>
            <w:vAlign w:val="center"/>
          </w:tcPr>
          <w:p w:rsidR="00070B40" w:rsidRDefault="00070B40">
            <w:pPr>
              <w:adjustRightInd w:val="0"/>
              <w:snapToGrid w:val="0"/>
              <w:rPr>
                <w:rFonts w:ascii="宋体" w:hAnsi="宋体"/>
                <w:snapToGrid w:val="0"/>
                <w:color w:val="000000"/>
                <w:kern w:val="0"/>
                <w:szCs w:val="21"/>
              </w:rPr>
            </w:pPr>
          </w:p>
        </w:tc>
      </w:tr>
      <w:tr w:rsidR="00070B40">
        <w:trPr>
          <w:trHeight w:val="340"/>
          <w:jc w:val="center"/>
        </w:trPr>
        <w:tc>
          <w:tcPr>
            <w:tcW w:w="520"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w:t>
            </w:r>
          </w:p>
        </w:tc>
        <w:tc>
          <w:tcPr>
            <w:tcW w:w="678"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发展</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环境</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10分</w:t>
            </w: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医院有专科建设领导的组织机构</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3</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查医院文件和分管院领导工作日志</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无组织机构不得分，有机构未履行职责扣2分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医院有扶持重点专科建设的政策或措施</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4</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查有关资料</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政策措施齐全得4分；政策措施不完善或不齐全得2分；无明确的政策、措施或不落实不得分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医院制定有重点专科发展规划</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3</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查有关资料</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规划欠合理得1分；无中长期发展规划不得分</w:t>
            </w:r>
          </w:p>
        </w:tc>
      </w:tr>
      <w:tr w:rsidR="00070B40">
        <w:trPr>
          <w:trHeight w:val="340"/>
          <w:jc w:val="center"/>
        </w:trPr>
        <w:tc>
          <w:tcPr>
            <w:tcW w:w="520"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2</w:t>
            </w:r>
          </w:p>
        </w:tc>
        <w:tc>
          <w:tcPr>
            <w:tcW w:w="678"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专科</w:t>
            </w:r>
          </w:p>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规模</w:t>
            </w:r>
          </w:p>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30分</w:t>
            </w: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独立单元，科室布局合理</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查医院有关文件；现场查看科室布局、就诊流程指示、重点专科科室标识</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无重点专科科室设置文件不得分；</w:t>
            </w:r>
          </w:p>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布局不符合要求不得分；</w:t>
            </w:r>
          </w:p>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医院感染管理不符和要求不得分；</w:t>
            </w:r>
          </w:p>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就诊流程不清晰、不合理不得分；</w:t>
            </w:r>
          </w:p>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科室标识不规范、不清楚、不醒目扣8分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bCs/>
                <w:snapToGrid w:val="0"/>
                <w:color w:val="000000"/>
                <w:kern w:val="0"/>
                <w:szCs w:val="21"/>
              </w:rPr>
            </w:pPr>
            <w:r>
              <w:rPr>
                <w:rFonts w:ascii="宋体" w:hAnsi="宋体" w:hint="eastAsia"/>
                <w:snapToGrid w:val="0"/>
                <w:color w:val="000000"/>
                <w:kern w:val="0"/>
                <w:szCs w:val="21"/>
              </w:rPr>
              <w:t>床位数</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查医院有关文件，并现场查看</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病床总数≥30张得10分，每少1张扣1分</w:t>
            </w:r>
          </w:p>
        </w:tc>
      </w:tr>
      <w:tr w:rsidR="00070B40">
        <w:trPr>
          <w:trHeight w:val="1331"/>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bCs/>
                <w:snapToGrid w:val="0"/>
                <w:color w:val="000000"/>
                <w:kern w:val="0"/>
                <w:szCs w:val="21"/>
              </w:rPr>
            </w:pPr>
            <w:r>
              <w:rPr>
                <w:rFonts w:ascii="宋体" w:hAnsi="宋体" w:hint="eastAsia"/>
                <w:snapToGrid w:val="0"/>
                <w:color w:val="000000"/>
                <w:kern w:val="0"/>
                <w:szCs w:val="21"/>
              </w:rPr>
              <w:t>业务用房每床使用面积≥60平方米，每床病床净使用面积≥6平方米(业务用房不包括辅助用房)</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bCs/>
                <w:snapToGrid w:val="0"/>
                <w:color w:val="000000"/>
                <w:kern w:val="0"/>
                <w:szCs w:val="21"/>
              </w:rPr>
              <w:t>每床使用面积=业务用房面积/床位数。每床净使用面积=病房面积/床位数。</w:t>
            </w:r>
            <w:r>
              <w:rPr>
                <w:rFonts w:ascii="宋体" w:hAnsi="宋体" w:hint="eastAsia"/>
                <w:snapToGrid w:val="0"/>
                <w:color w:val="000000"/>
                <w:kern w:val="0"/>
                <w:szCs w:val="21"/>
              </w:rPr>
              <w:t>查医院有关文件，并实地查看</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业务用房每床使用面积≥60平方米得5分，每减少10平方米扣2分；每床病床净使用面积≥6平方米得5分，每减少1平方米扣2分，少于4平方米不得分</w:t>
            </w:r>
          </w:p>
        </w:tc>
      </w:tr>
      <w:tr w:rsidR="00070B40">
        <w:trPr>
          <w:trHeight w:val="340"/>
          <w:jc w:val="center"/>
        </w:trPr>
        <w:tc>
          <w:tcPr>
            <w:tcW w:w="520"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3</w:t>
            </w:r>
          </w:p>
        </w:tc>
        <w:tc>
          <w:tcPr>
            <w:tcW w:w="678"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支撑</w:t>
            </w:r>
          </w:p>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条件</w:t>
            </w:r>
          </w:p>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45分</w:t>
            </w: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评估前三年医院每年对专科经费投入不低于50万元人民币</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10</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查医院账薄、报表，核对有关数据</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每少10万元减2分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bCs/>
                <w:snapToGrid w:val="0"/>
                <w:color w:val="000000"/>
                <w:kern w:val="0"/>
                <w:szCs w:val="21"/>
              </w:rPr>
            </w:pPr>
            <w:r>
              <w:rPr>
                <w:rFonts w:ascii="宋体" w:hAnsi="宋体" w:hint="eastAsia"/>
                <w:snapToGrid w:val="0"/>
                <w:color w:val="000000"/>
                <w:kern w:val="0"/>
                <w:szCs w:val="21"/>
              </w:rPr>
              <w:t>专科建设经费有专账，专款专用</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5</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查帐薄、报表，核对有关数据</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无专账、无专款、未专用均不得分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bCs/>
                <w:snapToGrid w:val="0"/>
                <w:color w:val="000000"/>
                <w:kern w:val="0"/>
                <w:szCs w:val="21"/>
              </w:rPr>
              <w:t>专科医疗设备能满足专科开展全部技术项目需要，具有先进性和适宜性</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20</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现场查看专科必备的仪器情况，查看仪器的使用记录(参照指南)</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设备满足所开展技术项目需要得10分</w:t>
            </w:r>
            <w:r>
              <w:rPr>
                <w:rFonts w:ascii="宋体" w:hAnsi="宋体" w:hint="eastAsia"/>
                <w:bCs/>
                <w:snapToGrid w:val="0"/>
                <w:color w:val="000000"/>
                <w:kern w:val="0"/>
                <w:szCs w:val="21"/>
              </w:rPr>
              <w:t>；医疗设备具有先进性得6分，具有适宜性得4分。</w:t>
            </w:r>
          </w:p>
        </w:tc>
      </w:tr>
      <w:tr w:rsidR="00070B40">
        <w:trPr>
          <w:trHeight w:val="738"/>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相关科室能够满足专科发展需要</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查看相关科室医疗技术队伍情况及设施设备情况</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bCs/>
                <w:snapToGrid w:val="0"/>
                <w:color w:val="000000"/>
                <w:kern w:val="0"/>
                <w:szCs w:val="21"/>
              </w:rPr>
              <w:t>相关科室医疗技术队伍整体实力强得5分，设备设施满足需要得5分</w:t>
            </w:r>
          </w:p>
        </w:tc>
      </w:tr>
      <w:tr w:rsidR="00070B40">
        <w:trPr>
          <w:trHeight w:val="340"/>
          <w:jc w:val="center"/>
        </w:trPr>
        <w:tc>
          <w:tcPr>
            <w:tcW w:w="520"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4</w:t>
            </w:r>
          </w:p>
        </w:tc>
        <w:tc>
          <w:tcPr>
            <w:tcW w:w="678"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科室</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管理</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75分</w:t>
            </w: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科室有发展规划、年度工作计划及年度总结</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5</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查评审前3年内有关资料</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无发展规划扣2分；无工作计划扣2分；无年度总结扣1分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专科有医疗质量管理组织，有医疗质量的管理制度，每月有科内医疗质量检查记录，并落实缺陷整改。</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查资料、查记录；随机抽查2名医务人员进行考核</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未成立组织不得分；无质量管理制度扣5分；每月未定期检查不得分；1人不熟悉质量管理制度扣3分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专科有建全的岗位职责，并能认真履行</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查资料，现场随机抽查医、护人员各1名进行考核</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无岗位职责不得分，岗位职责不健全扣2分；1人不熟悉岗位职责扣3分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bCs/>
                <w:snapToGrid w:val="0"/>
                <w:color w:val="000000"/>
                <w:kern w:val="0"/>
                <w:szCs w:val="21"/>
              </w:rPr>
              <w:t>开展临床路径管理</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20</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查开展临床路径相关文件、资料及工作记录，抽查10份病历</w:t>
            </w:r>
          </w:p>
        </w:tc>
        <w:tc>
          <w:tcPr>
            <w:tcW w:w="4481" w:type="dxa"/>
            <w:tcMar>
              <w:top w:w="15" w:type="dxa"/>
              <w:left w:w="15" w:type="dxa"/>
              <w:bottom w:w="0" w:type="dxa"/>
              <w:right w:w="15" w:type="dxa"/>
            </w:tcMar>
            <w:vAlign w:val="center"/>
          </w:tcPr>
          <w:p w:rsidR="00070B40" w:rsidRDefault="00EC383B" w:rsidP="005B1D77">
            <w:pPr>
              <w:adjustRightInd w:val="0"/>
              <w:snapToGrid w:val="0"/>
              <w:rPr>
                <w:rFonts w:ascii="宋体" w:hAnsi="宋体"/>
                <w:snapToGrid w:val="0"/>
                <w:color w:val="000000"/>
                <w:kern w:val="0"/>
                <w:szCs w:val="21"/>
              </w:rPr>
            </w:pPr>
            <w:r>
              <w:rPr>
                <w:rFonts w:ascii="宋体" w:hAnsi="宋体" w:hint="eastAsia"/>
                <w:bCs/>
                <w:snapToGrid w:val="0"/>
                <w:color w:val="000000"/>
                <w:kern w:val="0"/>
                <w:szCs w:val="21"/>
              </w:rPr>
              <w:t>根据</w:t>
            </w:r>
            <w:r w:rsidR="005B1D77">
              <w:rPr>
                <w:rFonts w:ascii="宋体" w:hAnsi="宋体" w:hint="eastAsia"/>
                <w:bCs/>
                <w:snapToGrid w:val="0"/>
                <w:color w:val="000000"/>
                <w:kern w:val="0"/>
                <w:szCs w:val="21"/>
              </w:rPr>
              <w:t>国家卫生计生委和省卫生计生委</w:t>
            </w:r>
            <w:r>
              <w:rPr>
                <w:rFonts w:ascii="宋体" w:hAnsi="宋体" w:hint="eastAsia"/>
                <w:bCs/>
                <w:snapToGrid w:val="0"/>
                <w:color w:val="000000"/>
                <w:kern w:val="0"/>
                <w:szCs w:val="21"/>
              </w:rPr>
              <w:t>的要求认真开展临床路径工作。根据本院本科室实际情况，制定并实施临床路径，工作有记录，资料完整得20分；开展了临床路径，工作无记录或记录集不完整得10分；未开展不得分。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根据《医院实施优质护理服务工作标准（试行）》，开展优质护理服务。</w:t>
            </w:r>
          </w:p>
          <w:p w:rsidR="00070B40" w:rsidRDefault="00EC383B">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1）改变护理工作模式，实行责任制整体护理；（2）依据科室专业特点及护理工作量，合理配置护士；（3）根据《综合医院分级护理指导原则（试行）》等文件，结合病房实际，细化分级护理标准、服务内涵和服务项目，患者的护理级别与患者病情和自理能力相符；（4）感染性疾病患者的卫生宣教工作</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30</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查人事报表、护士排班表等相关资料，现场查看，随机抽查2名护士进行考核，并随机询问病人</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病房护士数与病房实际床位数的比例低于0.4：1扣10分，每名责任护士平均负责患者数量超过8个扣5分，依赖患者家属自聘护工护理患者扣5分；1名病人护理级别和病情不相符扣5分；1名护士对优质护理服务有关内涵不清楚扣5分；1名护士对卫生宣教工作做得不到位扣5分</w:t>
            </w:r>
          </w:p>
        </w:tc>
      </w:tr>
      <w:tr w:rsidR="00070B40">
        <w:trPr>
          <w:trHeight w:val="340"/>
          <w:jc w:val="center"/>
        </w:trPr>
        <w:tc>
          <w:tcPr>
            <w:tcW w:w="5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二</w:t>
            </w:r>
          </w:p>
        </w:tc>
        <w:tc>
          <w:tcPr>
            <w:tcW w:w="4152" w:type="dxa"/>
            <w:gridSpan w:val="2"/>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bCs/>
                <w:snapToGrid w:val="0"/>
                <w:color w:val="000000"/>
                <w:kern w:val="0"/>
                <w:szCs w:val="21"/>
              </w:rPr>
              <w:t>技术队伍</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120</w:t>
            </w:r>
          </w:p>
        </w:tc>
        <w:tc>
          <w:tcPr>
            <w:tcW w:w="9161" w:type="dxa"/>
            <w:gridSpan w:val="2"/>
            <w:tcMar>
              <w:top w:w="15" w:type="dxa"/>
              <w:left w:w="15" w:type="dxa"/>
              <w:bottom w:w="0" w:type="dxa"/>
              <w:right w:w="15" w:type="dxa"/>
            </w:tcMar>
            <w:vAlign w:val="center"/>
          </w:tcPr>
          <w:p w:rsidR="00070B40" w:rsidRDefault="00070B40">
            <w:pPr>
              <w:adjustRightInd w:val="0"/>
              <w:snapToGrid w:val="0"/>
              <w:rPr>
                <w:rFonts w:ascii="宋体" w:hAnsi="宋体"/>
                <w:snapToGrid w:val="0"/>
                <w:color w:val="000000"/>
                <w:kern w:val="0"/>
                <w:szCs w:val="21"/>
              </w:rPr>
            </w:pPr>
          </w:p>
        </w:tc>
      </w:tr>
      <w:tr w:rsidR="00070B40">
        <w:trPr>
          <w:trHeight w:val="340"/>
          <w:jc w:val="center"/>
        </w:trPr>
        <w:tc>
          <w:tcPr>
            <w:tcW w:w="520"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lastRenderedPageBreak/>
              <w:t>5</w:t>
            </w:r>
          </w:p>
        </w:tc>
        <w:tc>
          <w:tcPr>
            <w:tcW w:w="678"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学科</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带头人</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30分</w:t>
            </w: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职称(正高或40岁以下的副高)</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4</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查职称证书</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非正高职称或40岁以上副高级职称不得分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主持科内专科查房每年不少于30次，年内应邀参加三级医院间疑难危重病例大会诊不少于10次</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6</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查相关资料</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主持科内专科查房每年少于30次，扣3分；参加三级医院间疑难危重病例重大会诊次数少于10次扣3分</w:t>
            </w:r>
          </w:p>
        </w:tc>
      </w:tr>
      <w:tr w:rsidR="00070B40">
        <w:trPr>
          <w:trHeight w:val="383"/>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主持科研项目(国家级、省级、市级)</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查评审前3年内获准批件，多个项目可累加计分，最高不超过标准分</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国家级5分，省级4分，市级2分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发表论文6篇(统计源以上)</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查评审前3年内以第一作者或通讯作者发表的统计源以上期刊杂志</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少一篇扣2分；2篇以下不得分</w:t>
            </w:r>
          </w:p>
        </w:tc>
      </w:tr>
      <w:tr w:rsidR="00070B40">
        <w:trPr>
          <w:trHeight w:val="340"/>
          <w:jc w:val="center"/>
        </w:trPr>
        <w:tc>
          <w:tcPr>
            <w:tcW w:w="520"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6</w:t>
            </w:r>
          </w:p>
        </w:tc>
        <w:tc>
          <w:tcPr>
            <w:tcW w:w="678"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学科</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骨干</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28分</w:t>
            </w:r>
          </w:p>
        </w:tc>
        <w:tc>
          <w:tcPr>
            <w:tcW w:w="3474"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有3个以上明确的学科骨干</w:t>
            </w:r>
          </w:p>
        </w:tc>
        <w:tc>
          <w:tcPr>
            <w:tcW w:w="720" w:type="dxa"/>
            <w:tcMar>
              <w:top w:w="15" w:type="dxa"/>
              <w:left w:w="15" w:type="dxa"/>
              <w:bottom w:w="0" w:type="dxa"/>
              <w:right w:w="15" w:type="dxa"/>
            </w:tcMar>
            <w:vAlign w:val="center"/>
          </w:tcPr>
          <w:p w:rsidR="00070B40" w:rsidRDefault="00EC383B">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6</w:t>
            </w:r>
          </w:p>
        </w:tc>
        <w:tc>
          <w:tcPr>
            <w:tcW w:w="4680"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查有关资料</w:t>
            </w:r>
          </w:p>
        </w:tc>
        <w:tc>
          <w:tcPr>
            <w:tcW w:w="4481"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少1名扣2分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副高级以上职称</w:t>
            </w:r>
          </w:p>
        </w:tc>
        <w:tc>
          <w:tcPr>
            <w:tcW w:w="720" w:type="dxa"/>
            <w:tcMar>
              <w:top w:w="15" w:type="dxa"/>
              <w:left w:w="15" w:type="dxa"/>
              <w:bottom w:w="0" w:type="dxa"/>
              <w:right w:w="15" w:type="dxa"/>
            </w:tcMar>
            <w:vAlign w:val="center"/>
          </w:tcPr>
          <w:p w:rsidR="00070B40" w:rsidRDefault="00EC383B">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6</w:t>
            </w:r>
          </w:p>
        </w:tc>
        <w:tc>
          <w:tcPr>
            <w:tcW w:w="4680"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查有关资料</w:t>
            </w:r>
          </w:p>
        </w:tc>
        <w:tc>
          <w:tcPr>
            <w:tcW w:w="4481"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1名不具备副高以上职称扣2分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snapToGrid w:val="0"/>
                <w:color w:val="000000"/>
                <w:kern w:val="0"/>
                <w:szCs w:val="21"/>
              </w:rPr>
              <w:t>年主持科内专科查房平均每周1次以上，年内应邀参加三级医院间疑难危重病例大会诊不少于5次</w:t>
            </w:r>
          </w:p>
        </w:tc>
        <w:tc>
          <w:tcPr>
            <w:tcW w:w="720" w:type="dxa"/>
            <w:tcMar>
              <w:top w:w="15" w:type="dxa"/>
              <w:left w:w="15" w:type="dxa"/>
              <w:bottom w:w="0" w:type="dxa"/>
              <w:right w:w="15" w:type="dxa"/>
            </w:tcMar>
            <w:vAlign w:val="center"/>
          </w:tcPr>
          <w:p w:rsidR="00070B40" w:rsidRDefault="00EC383B">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10</w:t>
            </w:r>
          </w:p>
        </w:tc>
        <w:tc>
          <w:tcPr>
            <w:tcW w:w="4680"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查相关资料</w:t>
            </w:r>
          </w:p>
        </w:tc>
        <w:tc>
          <w:tcPr>
            <w:tcW w:w="4481"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snapToGrid w:val="0"/>
                <w:color w:val="000000"/>
                <w:kern w:val="0"/>
                <w:szCs w:val="21"/>
              </w:rPr>
              <w:t>1名</w:t>
            </w:r>
            <w:r>
              <w:rPr>
                <w:rFonts w:ascii="宋体" w:hAnsi="宋体" w:hint="eastAsia"/>
                <w:bCs/>
                <w:snapToGrid w:val="0"/>
                <w:color w:val="000000"/>
                <w:kern w:val="0"/>
                <w:szCs w:val="21"/>
              </w:rPr>
              <w:t>学科骨干</w:t>
            </w:r>
            <w:r>
              <w:rPr>
                <w:rFonts w:ascii="宋体" w:hAnsi="宋体" w:hint="eastAsia"/>
                <w:snapToGrid w:val="0"/>
                <w:color w:val="000000"/>
                <w:kern w:val="0"/>
                <w:szCs w:val="21"/>
              </w:rPr>
              <w:t>主持科内专科查房平均每周少于1次扣2分，1名</w:t>
            </w:r>
            <w:r>
              <w:rPr>
                <w:rFonts w:ascii="宋体" w:hAnsi="宋体" w:hint="eastAsia"/>
                <w:bCs/>
                <w:snapToGrid w:val="0"/>
                <w:color w:val="000000"/>
                <w:kern w:val="0"/>
                <w:szCs w:val="21"/>
              </w:rPr>
              <w:t>学科骨干</w:t>
            </w:r>
            <w:r>
              <w:rPr>
                <w:rFonts w:ascii="宋体" w:hAnsi="宋体" w:hint="eastAsia"/>
                <w:snapToGrid w:val="0"/>
                <w:color w:val="000000"/>
                <w:kern w:val="0"/>
                <w:szCs w:val="21"/>
              </w:rPr>
              <w:t>年内应邀参加三级医院间疑难危重病例大会诊少于5次扣2分</w:t>
            </w:r>
          </w:p>
        </w:tc>
      </w:tr>
      <w:tr w:rsidR="00070B40">
        <w:trPr>
          <w:trHeight w:val="862"/>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承担市级以上课题 ，发表论文</w:t>
            </w:r>
            <w:r>
              <w:rPr>
                <w:rFonts w:ascii="宋体" w:hAnsi="宋体" w:hint="eastAsia"/>
                <w:snapToGrid w:val="0"/>
                <w:color w:val="000000"/>
                <w:kern w:val="0"/>
                <w:szCs w:val="21"/>
              </w:rPr>
              <w:t>4篇(统计源以上)</w:t>
            </w:r>
          </w:p>
        </w:tc>
        <w:tc>
          <w:tcPr>
            <w:tcW w:w="720" w:type="dxa"/>
            <w:tcMar>
              <w:top w:w="15" w:type="dxa"/>
              <w:left w:w="15" w:type="dxa"/>
              <w:bottom w:w="0" w:type="dxa"/>
              <w:right w:w="15" w:type="dxa"/>
            </w:tcMar>
            <w:vAlign w:val="center"/>
          </w:tcPr>
          <w:p w:rsidR="00070B40" w:rsidRDefault="00EC383B">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6</w:t>
            </w:r>
          </w:p>
        </w:tc>
        <w:tc>
          <w:tcPr>
            <w:tcW w:w="4680"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snapToGrid w:val="0"/>
                <w:color w:val="000000"/>
                <w:kern w:val="0"/>
                <w:szCs w:val="21"/>
              </w:rPr>
              <w:t>查评审前3年内获准批件；查评审前3年内以第一作者或通讯作者发表的统计源以上期刊杂志</w:t>
            </w:r>
          </w:p>
        </w:tc>
        <w:tc>
          <w:tcPr>
            <w:tcW w:w="4481"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未承担相应课题扣2分，论文少1篇扣1分</w:t>
            </w:r>
          </w:p>
        </w:tc>
      </w:tr>
      <w:tr w:rsidR="00070B40">
        <w:trPr>
          <w:trHeight w:val="340"/>
          <w:jc w:val="center"/>
        </w:trPr>
        <w:tc>
          <w:tcPr>
            <w:tcW w:w="520"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7</w:t>
            </w:r>
          </w:p>
        </w:tc>
        <w:tc>
          <w:tcPr>
            <w:tcW w:w="678"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专科</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医师</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队伍</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26分</w:t>
            </w: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专业技术人员有相应的执业资格；专科医师人数合理</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8</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随机抽查3名专业技术人员相应执业资格；医师人数不低于0.2人/床</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有1人不具备相应执业资格不得分；医师床位比不达标扣6分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bCs/>
                <w:snapToGrid w:val="0"/>
                <w:color w:val="000000"/>
                <w:kern w:val="0"/>
                <w:szCs w:val="21"/>
              </w:rPr>
            </w:pPr>
            <w:r>
              <w:rPr>
                <w:rFonts w:ascii="宋体" w:hAnsi="宋体" w:hint="eastAsia"/>
                <w:snapToGrid w:val="0"/>
                <w:color w:val="000000"/>
                <w:kern w:val="0"/>
                <w:szCs w:val="21"/>
              </w:rPr>
              <w:t>学士、硕士、博士学位所占比例</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8</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查学位证书原件，各学位医师应占专科医师的比例为硕士达30%，博士达10%</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硕士不达标扣4分；博士不达标扣4分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bCs/>
                <w:snapToGrid w:val="0"/>
                <w:color w:val="000000"/>
                <w:kern w:val="0"/>
                <w:szCs w:val="21"/>
              </w:rPr>
            </w:pPr>
            <w:r>
              <w:rPr>
                <w:rFonts w:ascii="宋体" w:hAnsi="宋体" w:hint="eastAsia"/>
                <w:snapToGrid w:val="0"/>
                <w:color w:val="000000"/>
                <w:kern w:val="0"/>
                <w:szCs w:val="21"/>
              </w:rPr>
              <w:t>高级、中级、初级所占比例</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6</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查职称证书，高级、中级、初级人员占医师总数比例为3∶4∶3</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各级人员比例可上下浮动10%范围，超出范围比例失调不得分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bCs/>
                <w:snapToGrid w:val="0"/>
                <w:color w:val="000000"/>
                <w:kern w:val="0"/>
                <w:szCs w:val="21"/>
              </w:rPr>
              <w:t>老中青医师结构合理，层次分明</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4</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bCs/>
                <w:snapToGrid w:val="0"/>
                <w:color w:val="000000"/>
                <w:kern w:val="0"/>
                <w:szCs w:val="21"/>
              </w:rPr>
              <w:t>查相关资料</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结构层次清楚，人数近似得4分；人数比例明显失调扣4分</w:t>
            </w:r>
          </w:p>
        </w:tc>
      </w:tr>
      <w:tr w:rsidR="00070B40">
        <w:trPr>
          <w:trHeight w:val="340"/>
          <w:jc w:val="center"/>
        </w:trPr>
        <w:tc>
          <w:tcPr>
            <w:tcW w:w="520"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8</w:t>
            </w:r>
          </w:p>
        </w:tc>
        <w:tc>
          <w:tcPr>
            <w:tcW w:w="678"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护理</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队伍</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lastRenderedPageBreak/>
              <w:t>21分</w:t>
            </w: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bCs/>
                <w:snapToGrid w:val="0"/>
                <w:color w:val="000000"/>
                <w:kern w:val="0"/>
                <w:szCs w:val="21"/>
              </w:rPr>
            </w:pPr>
            <w:r>
              <w:rPr>
                <w:rFonts w:ascii="宋体" w:hAnsi="宋体" w:hint="eastAsia"/>
                <w:color w:val="000000"/>
                <w:kern w:val="0"/>
                <w:szCs w:val="21"/>
              </w:rPr>
              <w:lastRenderedPageBreak/>
              <w:t>建立专科护理质量管理组织，有护理质量持续改进的实施计划和管理目标</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6</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bCs/>
                <w:snapToGrid w:val="0"/>
                <w:color w:val="000000"/>
                <w:kern w:val="0"/>
                <w:szCs w:val="21"/>
              </w:rPr>
            </w:pPr>
            <w:r>
              <w:rPr>
                <w:rFonts w:ascii="宋体" w:hAnsi="宋体" w:hint="eastAsia"/>
                <w:color w:val="000000"/>
                <w:kern w:val="0"/>
                <w:szCs w:val="21"/>
              </w:rPr>
              <w:t>查看相关资料及工作记录</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未建立专科护理质量管理组织不得分；无实施计划和管理目标扣3分；无质量分析记录和改进措</w:t>
            </w:r>
            <w:r>
              <w:rPr>
                <w:rFonts w:ascii="宋体" w:hAnsi="宋体" w:hint="eastAsia"/>
                <w:bCs/>
                <w:snapToGrid w:val="0"/>
                <w:color w:val="000000"/>
                <w:kern w:val="0"/>
                <w:szCs w:val="21"/>
              </w:rPr>
              <w:lastRenderedPageBreak/>
              <w:t>施扣3分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护士长业务水平高，管理能力强，符合科室工作要求</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5</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考核护士长掌握业务情况及科室管理情况</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对业务不熟悉扣3分；对科室管理情况不清楚扣2分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定期开展护理专科业务培训，整体护理业务能力强</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10</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查有关资料，现场考核2名护士本专科护理能力</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无培训计划扣3分，无考核记录扣5分；1名护士业务能力不熟悉扣5分</w:t>
            </w:r>
          </w:p>
        </w:tc>
      </w:tr>
      <w:tr w:rsidR="00070B40">
        <w:trPr>
          <w:trHeight w:val="440"/>
          <w:jc w:val="center"/>
        </w:trPr>
        <w:tc>
          <w:tcPr>
            <w:tcW w:w="520"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9</w:t>
            </w:r>
          </w:p>
        </w:tc>
        <w:tc>
          <w:tcPr>
            <w:tcW w:w="678"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人才</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培养</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15分</w:t>
            </w:r>
          </w:p>
        </w:tc>
        <w:tc>
          <w:tcPr>
            <w:tcW w:w="3474"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有专科人员培训计划、措施及落实</w:t>
            </w:r>
          </w:p>
        </w:tc>
        <w:tc>
          <w:tcPr>
            <w:tcW w:w="720" w:type="dxa"/>
            <w:tcMar>
              <w:top w:w="15" w:type="dxa"/>
              <w:left w:w="15" w:type="dxa"/>
              <w:bottom w:w="0" w:type="dxa"/>
              <w:right w:w="15" w:type="dxa"/>
            </w:tcMar>
            <w:vAlign w:val="center"/>
          </w:tcPr>
          <w:p w:rsidR="00070B40" w:rsidRDefault="00EC383B">
            <w:pPr>
              <w:adjustRightInd w:val="0"/>
              <w:snapToGrid w:val="0"/>
              <w:spacing w:line="240" w:lineRule="exact"/>
              <w:jc w:val="center"/>
              <w:rPr>
                <w:rFonts w:ascii="宋体" w:hAnsi="宋体"/>
                <w:snapToGrid w:val="0"/>
                <w:color w:val="000000"/>
                <w:kern w:val="0"/>
                <w:szCs w:val="21"/>
              </w:rPr>
            </w:pPr>
            <w:r>
              <w:rPr>
                <w:rFonts w:ascii="宋体" w:hAnsi="宋体" w:hint="eastAsia"/>
                <w:snapToGrid w:val="0"/>
                <w:color w:val="000000"/>
                <w:kern w:val="0"/>
                <w:szCs w:val="21"/>
              </w:rPr>
              <w:t>5</w:t>
            </w:r>
          </w:p>
        </w:tc>
        <w:tc>
          <w:tcPr>
            <w:tcW w:w="4680"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查资料</w:t>
            </w:r>
          </w:p>
        </w:tc>
        <w:tc>
          <w:tcPr>
            <w:tcW w:w="4481"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无计划不得分，无培训记录扣3分</w:t>
            </w:r>
          </w:p>
        </w:tc>
      </w:tr>
      <w:tr w:rsidR="00070B40">
        <w:trPr>
          <w:trHeight w:val="842"/>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选送科室人员到外院或国外医院进修学习，每年不少于2人次，进修时间不少于6个月/人次</w:t>
            </w:r>
          </w:p>
        </w:tc>
        <w:tc>
          <w:tcPr>
            <w:tcW w:w="720" w:type="dxa"/>
            <w:tcMar>
              <w:top w:w="15" w:type="dxa"/>
              <w:left w:w="15" w:type="dxa"/>
              <w:bottom w:w="0" w:type="dxa"/>
              <w:right w:w="15" w:type="dxa"/>
            </w:tcMar>
            <w:vAlign w:val="center"/>
          </w:tcPr>
          <w:p w:rsidR="00070B40" w:rsidRDefault="00EC383B">
            <w:pPr>
              <w:adjustRightInd w:val="0"/>
              <w:snapToGrid w:val="0"/>
              <w:spacing w:line="240" w:lineRule="exact"/>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查看评审前3年内相关证书</w:t>
            </w:r>
          </w:p>
        </w:tc>
        <w:tc>
          <w:tcPr>
            <w:tcW w:w="4481"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6个月/人次，6人以上（含6人）得10分；每减少1人次扣2分</w:t>
            </w:r>
          </w:p>
        </w:tc>
      </w:tr>
      <w:tr w:rsidR="00070B40">
        <w:trPr>
          <w:trHeight w:val="340"/>
          <w:jc w:val="center"/>
        </w:trPr>
        <w:tc>
          <w:tcPr>
            <w:tcW w:w="5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三</w:t>
            </w:r>
          </w:p>
        </w:tc>
        <w:tc>
          <w:tcPr>
            <w:tcW w:w="4152" w:type="dxa"/>
            <w:gridSpan w:val="2"/>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医疗服务能力与水平</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400</w:t>
            </w:r>
          </w:p>
        </w:tc>
        <w:tc>
          <w:tcPr>
            <w:tcW w:w="9161" w:type="dxa"/>
            <w:gridSpan w:val="2"/>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r>
      <w:tr w:rsidR="00070B40">
        <w:trPr>
          <w:trHeight w:val="548"/>
          <w:jc w:val="center"/>
        </w:trPr>
        <w:tc>
          <w:tcPr>
            <w:tcW w:w="520"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678"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总体</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水平</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70分</w:t>
            </w:r>
          </w:p>
        </w:tc>
        <w:tc>
          <w:tcPr>
            <w:tcW w:w="3474"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具有合理的学组设置，能够独立开展三级医院常规临床技术项目</w:t>
            </w:r>
          </w:p>
        </w:tc>
        <w:tc>
          <w:tcPr>
            <w:tcW w:w="720" w:type="dxa"/>
            <w:tcMar>
              <w:top w:w="15" w:type="dxa"/>
              <w:left w:w="15" w:type="dxa"/>
              <w:bottom w:w="0" w:type="dxa"/>
              <w:right w:w="15" w:type="dxa"/>
            </w:tcMar>
            <w:vAlign w:val="center"/>
          </w:tcPr>
          <w:p w:rsidR="00070B40" w:rsidRDefault="00EC383B">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20</w:t>
            </w:r>
          </w:p>
        </w:tc>
        <w:tc>
          <w:tcPr>
            <w:tcW w:w="4680"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由评审专家组结合专业实际确定8-10个三级医院常规临床技术项目。查阅相关病历和资料，评价专科技术的总体水平和其地位</w:t>
            </w:r>
          </w:p>
        </w:tc>
        <w:tc>
          <w:tcPr>
            <w:tcW w:w="4481"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常规技术项目缺一项扣4分</w:t>
            </w:r>
          </w:p>
        </w:tc>
      </w:tr>
      <w:tr w:rsidR="00070B40">
        <w:trPr>
          <w:trHeight w:val="424"/>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科室病床使用率</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查资料</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bCs/>
                <w:snapToGrid w:val="0"/>
                <w:color w:val="000000"/>
                <w:kern w:val="0"/>
                <w:szCs w:val="21"/>
              </w:rPr>
              <w:t>病床使用率＜90%终止评审；病床使用率≥95%，得满分，每降低1%扣2分</w:t>
            </w:r>
          </w:p>
        </w:tc>
      </w:tr>
      <w:tr w:rsidR="00070B40">
        <w:trPr>
          <w:trHeight w:val="318"/>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snapToGrid w:val="0"/>
                <w:color w:val="000000"/>
                <w:kern w:val="0"/>
                <w:szCs w:val="21"/>
              </w:rPr>
              <w:t>科室</w:t>
            </w:r>
            <w:r>
              <w:rPr>
                <w:rFonts w:ascii="宋体" w:hAnsi="宋体" w:hint="eastAsia"/>
                <w:bCs/>
                <w:snapToGrid w:val="0"/>
                <w:color w:val="000000"/>
                <w:kern w:val="0"/>
                <w:szCs w:val="21"/>
              </w:rPr>
              <w:t>平均年出院人数</w:t>
            </w:r>
          </w:p>
        </w:tc>
        <w:tc>
          <w:tcPr>
            <w:tcW w:w="720" w:type="dxa"/>
            <w:tcMar>
              <w:top w:w="15" w:type="dxa"/>
              <w:left w:w="15" w:type="dxa"/>
              <w:bottom w:w="0" w:type="dxa"/>
              <w:right w:w="15" w:type="dxa"/>
            </w:tcMar>
            <w:vAlign w:val="center"/>
          </w:tcPr>
          <w:p w:rsidR="00070B40" w:rsidRDefault="00EC383B">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10</w:t>
            </w:r>
          </w:p>
        </w:tc>
        <w:tc>
          <w:tcPr>
            <w:tcW w:w="4680"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查阅医院相关统计报表</w:t>
            </w:r>
          </w:p>
        </w:tc>
        <w:tc>
          <w:tcPr>
            <w:tcW w:w="4481"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专家根据参评单位平均年出院人数情况综合打分</w:t>
            </w:r>
          </w:p>
        </w:tc>
      </w:tr>
      <w:tr w:rsidR="00070B40">
        <w:trPr>
          <w:trHeight w:val="281"/>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snapToGrid w:val="0"/>
                <w:color w:val="000000"/>
                <w:kern w:val="0"/>
                <w:szCs w:val="21"/>
              </w:rPr>
              <w:t>科室</w:t>
            </w:r>
            <w:r>
              <w:rPr>
                <w:rFonts w:ascii="宋体" w:hAnsi="宋体" w:hint="eastAsia"/>
                <w:bCs/>
                <w:snapToGrid w:val="0"/>
                <w:color w:val="000000"/>
                <w:kern w:val="0"/>
                <w:szCs w:val="21"/>
              </w:rPr>
              <w:t>平均年门诊人次</w:t>
            </w:r>
          </w:p>
        </w:tc>
        <w:tc>
          <w:tcPr>
            <w:tcW w:w="720" w:type="dxa"/>
            <w:tcMar>
              <w:top w:w="15" w:type="dxa"/>
              <w:left w:w="15" w:type="dxa"/>
              <w:bottom w:w="0" w:type="dxa"/>
              <w:right w:w="15" w:type="dxa"/>
            </w:tcMar>
            <w:vAlign w:val="center"/>
          </w:tcPr>
          <w:p w:rsidR="00070B40" w:rsidRDefault="00EC383B">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10</w:t>
            </w:r>
          </w:p>
        </w:tc>
        <w:tc>
          <w:tcPr>
            <w:tcW w:w="4680"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查阅医院相关统计报表</w:t>
            </w:r>
          </w:p>
        </w:tc>
        <w:tc>
          <w:tcPr>
            <w:tcW w:w="4481"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专家根据参评单位平均年门诊人次情况综合打分</w:t>
            </w:r>
          </w:p>
        </w:tc>
      </w:tr>
      <w:tr w:rsidR="00070B40">
        <w:trPr>
          <w:trHeight w:val="298"/>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snapToGrid w:val="0"/>
                <w:color w:val="000000"/>
                <w:kern w:val="0"/>
                <w:szCs w:val="21"/>
              </w:rPr>
              <w:t>科室</w:t>
            </w:r>
            <w:r>
              <w:rPr>
                <w:rFonts w:ascii="宋体" w:hAnsi="宋体" w:hint="eastAsia"/>
                <w:bCs/>
                <w:snapToGrid w:val="0"/>
                <w:color w:val="000000"/>
                <w:kern w:val="0"/>
                <w:szCs w:val="21"/>
              </w:rPr>
              <w:t>平均住院日≤15天</w:t>
            </w:r>
          </w:p>
        </w:tc>
        <w:tc>
          <w:tcPr>
            <w:tcW w:w="720" w:type="dxa"/>
            <w:tcMar>
              <w:top w:w="15" w:type="dxa"/>
              <w:left w:w="15" w:type="dxa"/>
              <w:bottom w:w="0" w:type="dxa"/>
              <w:right w:w="15" w:type="dxa"/>
            </w:tcMar>
            <w:vAlign w:val="center"/>
          </w:tcPr>
          <w:p w:rsidR="00070B40" w:rsidRDefault="00EC383B">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10</w:t>
            </w:r>
          </w:p>
        </w:tc>
        <w:tc>
          <w:tcPr>
            <w:tcW w:w="4680"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查阅医院统计报表</w:t>
            </w:r>
          </w:p>
        </w:tc>
        <w:tc>
          <w:tcPr>
            <w:tcW w:w="4481"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snapToGrid w:val="0"/>
                <w:kern w:val="0"/>
                <w:szCs w:val="21"/>
              </w:rPr>
              <w:t>每上升一天扣3分。同一个专业的专科如果均在标准之内其最短天数按满分计数，其他酌情给分</w:t>
            </w:r>
          </w:p>
        </w:tc>
      </w:tr>
      <w:tr w:rsidR="00070B40">
        <w:trPr>
          <w:trHeight w:val="275"/>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snapToGrid w:val="0"/>
                <w:color w:val="000000"/>
                <w:kern w:val="0"/>
                <w:szCs w:val="21"/>
              </w:rPr>
              <w:t>科室床位周转次数≥19次/年</w:t>
            </w:r>
          </w:p>
        </w:tc>
        <w:tc>
          <w:tcPr>
            <w:tcW w:w="720" w:type="dxa"/>
            <w:tcMar>
              <w:top w:w="15" w:type="dxa"/>
              <w:left w:w="15" w:type="dxa"/>
              <w:bottom w:w="0" w:type="dxa"/>
              <w:right w:w="15" w:type="dxa"/>
            </w:tcMar>
            <w:vAlign w:val="center"/>
          </w:tcPr>
          <w:p w:rsidR="00070B40" w:rsidRDefault="00EC383B">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10</w:t>
            </w:r>
          </w:p>
        </w:tc>
        <w:tc>
          <w:tcPr>
            <w:tcW w:w="4680"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查阅医院统计报表</w:t>
            </w:r>
          </w:p>
        </w:tc>
        <w:tc>
          <w:tcPr>
            <w:tcW w:w="4481"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降低1次扣3分</w:t>
            </w:r>
          </w:p>
        </w:tc>
      </w:tr>
      <w:tr w:rsidR="00070B40">
        <w:trPr>
          <w:trHeight w:val="340"/>
          <w:jc w:val="center"/>
        </w:trPr>
        <w:tc>
          <w:tcPr>
            <w:tcW w:w="520"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11</w:t>
            </w:r>
          </w:p>
        </w:tc>
        <w:tc>
          <w:tcPr>
            <w:tcW w:w="678"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亚专科建设</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30分</w:t>
            </w:r>
          </w:p>
        </w:tc>
        <w:tc>
          <w:tcPr>
            <w:tcW w:w="3474"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亚专科与专科发展相适应</w:t>
            </w:r>
          </w:p>
        </w:tc>
        <w:tc>
          <w:tcPr>
            <w:tcW w:w="720" w:type="dxa"/>
            <w:tcMar>
              <w:top w:w="15" w:type="dxa"/>
              <w:left w:w="15" w:type="dxa"/>
              <w:bottom w:w="0" w:type="dxa"/>
              <w:right w:w="15" w:type="dxa"/>
            </w:tcMar>
            <w:vAlign w:val="center"/>
          </w:tcPr>
          <w:p w:rsidR="00070B40" w:rsidRDefault="00EC383B">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10</w:t>
            </w:r>
          </w:p>
        </w:tc>
        <w:tc>
          <w:tcPr>
            <w:tcW w:w="4680"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查相关资料，实地查看并询问医务人员</w:t>
            </w:r>
          </w:p>
        </w:tc>
        <w:tc>
          <w:tcPr>
            <w:tcW w:w="4481"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亚专科设置超过2个以上得10分，1个得5分，没有不得分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具有较高的技术水平和服务能力</w:t>
            </w:r>
          </w:p>
        </w:tc>
        <w:tc>
          <w:tcPr>
            <w:tcW w:w="720" w:type="dxa"/>
            <w:tcMar>
              <w:top w:w="15" w:type="dxa"/>
              <w:left w:w="15" w:type="dxa"/>
              <w:bottom w:w="0" w:type="dxa"/>
              <w:right w:w="15" w:type="dxa"/>
            </w:tcMar>
            <w:vAlign w:val="center"/>
          </w:tcPr>
          <w:p w:rsidR="00070B40" w:rsidRDefault="00EC383B">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20</w:t>
            </w:r>
          </w:p>
        </w:tc>
        <w:tc>
          <w:tcPr>
            <w:tcW w:w="4680"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查询相关病例和资料，由专家结合本专业实际确定2个反映本专业水平和能力的病种或技术进行比较评价</w:t>
            </w:r>
          </w:p>
        </w:tc>
        <w:tc>
          <w:tcPr>
            <w:tcW w:w="4481"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专家综合评价给分</w:t>
            </w:r>
          </w:p>
        </w:tc>
      </w:tr>
      <w:tr w:rsidR="00070B40">
        <w:trPr>
          <w:trHeight w:val="340"/>
          <w:jc w:val="center"/>
        </w:trPr>
        <w:tc>
          <w:tcPr>
            <w:tcW w:w="5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12</w:t>
            </w:r>
          </w:p>
        </w:tc>
        <w:tc>
          <w:tcPr>
            <w:tcW w:w="678" w:type="dxa"/>
            <w:tcMar>
              <w:top w:w="15" w:type="dxa"/>
              <w:left w:w="15" w:type="dxa"/>
              <w:bottom w:w="0" w:type="dxa"/>
              <w:right w:w="15" w:type="dxa"/>
            </w:tcMar>
            <w:vAlign w:val="center"/>
          </w:tcPr>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技术</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特色</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lastRenderedPageBreak/>
              <w:t>20分</w:t>
            </w:r>
          </w:p>
        </w:tc>
        <w:tc>
          <w:tcPr>
            <w:tcW w:w="3474"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lastRenderedPageBreak/>
              <w:t>国内先进、省内领先以上，在省内开展例数排名前列</w:t>
            </w:r>
          </w:p>
        </w:tc>
        <w:tc>
          <w:tcPr>
            <w:tcW w:w="720" w:type="dxa"/>
            <w:tcMar>
              <w:top w:w="15" w:type="dxa"/>
              <w:left w:w="15" w:type="dxa"/>
              <w:bottom w:w="0" w:type="dxa"/>
              <w:right w:w="15" w:type="dxa"/>
            </w:tcMar>
            <w:vAlign w:val="center"/>
          </w:tcPr>
          <w:p w:rsidR="00070B40" w:rsidRDefault="00EC383B">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20</w:t>
            </w:r>
          </w:p>
        </w:tc>
        <w:tc>
          <w:tcPr>
            <w:tcW w:w="4680"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医院提供的评审前3年内2项技术，评定其先进性</w:t>
            </w:r>
          </w:p>
        </w:tc>
        <w:tc>
          <w:tcPr>
            <w:tcW w:w="4481"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对医院提供的2项技术进行评估，每项技术适应症的合理掌握（3分），实施效果（3分），单项</w:t>
            </w:r>
            <w:r>
              <w:rPr>
                <w:rFonts w:ascii="宋体" w:hAnsi="宋体" w:hint="eastAsia"/>
                <w:bCs/>
                <w:snapToGrid w:val="0"/>
                <w:color w:val="000000"/>
                <w:kern w:val="0"/>
                <w:szCs w:val="21"/>
              </w:rPr>
              <w:lastRenderedPageBreak/>
              <w:t>技术先进性、领先程度（4分</w:t>
            </w:r>
            <w:r>
              <w:rPr>
                <w:rFonts w:ascii="宋体" w:hAnsi="宋体" w:hint="eastAsia"/>
                <w:bCs/>
                <w:snapToGrid w:val="0"/>
                <w:color w:val="000000"/>
                <w:kern w:val="0"/>
                <w:sz w:val="24"/>
              </w:rPr>
              <w:t>）</w:t>
            </w:r>
          </w:p>
        </w:tc>
      </w:tr>
      <w:tr w:rsidR="00070B40">
        <w:trPr>
          <w:trHeight w:val="1193"/>
          <w:jc w:val="center"/>
        </w:trPr>
        <w:tc>
          <w:tcPr>
            <w:tcW w:w="520"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lastRenderedPageBreak/>
              <w:t>13</w:t>
            </w:r>
          </w:p>
        </w:tc>
        <w:tc>
          <w:tcPr>
            <w:tcW w:w="678"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诊治</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能力</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200分</w:t>
            </w:r>
          </w:p>
        </w:tc>
        <w:tc>
          <w:tcPr>
            <w:tcW w:w="3474"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独立开展省临床重点专科建设指南必备的技术项目。成功开展指：1、本专科独立完成；2、每一项目能提交评审前3年内的20份病历的技术资料</w:t>
            </w:r>
          </w:p>
        </w:tc>
        <w:tc>
          <w:tcPr>
            <w:tcW w:w="720" w:type="dxa"/>
            <w:tcMar>
              <w:top w:w="15" w:type="dxa"/>
              <w:left w:w="15" w:type="dxa"/>
              <w:bottom w:w="0" w:type="dxa"/>
              <w:right w:w="15" w:type="dxa"/>
            </w:tcMar>
            <w:vAlign w:val="center"/>
          </w:tcPr>
          <w:p w:rsidR="00070B40" w:rsidRDefault="00EC383B">
            <w:pPr>
              <w:adjustRightInd w:val="0"/>
              <w:snapToGrid w:val="0"/>
              <w:spacing w:line="240" w:lineRule="exact"/>
              <w:jc w:val="center"/>
              <w:rPr>
                <w:rFonts w:ascii="宋体" w:hAnsi="宋体"/>
                <w:snapToGrid w:val="0"/>
                <w:color w:val="000000"/>
                <w:kern w:val="0"/>
                <w:szCs w:val="21"/>
              </w:rPr>
            </w:pPr>
            <w:r>
              <w:rPr>
                <w:rFonts w:ascii="宋体" w:hAnsi="宋体" w:hint="eastAsia"/>
                <w:snapToGrid w:val="0"/>
                <w:color w:val="000000"/>
                <w:kern w:val="0"/>
                <w:szCs w:val="21"/>
              </w:rPr>
              <w:t>50</w:t>
            </w:r>
          </w:p>
        </w:tc>
        <w:tc>
          <w:tcPr>
            <w:tcW w:w="4680"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按照《项目指南》的要求进行考核，每一项目查阅20份病历</w:t>
            </w:r>
          </w:p>
        </w:tc>
        <w:tc>
          <w:tcPr>
            <w:tcW w:w="4481"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按相应专业技术项目的条款的总数平分分值；病历数少于10者，本项按未开展计算，大于10不足20的扣除相应分值</w:t>
            </w:r>
          </w:p>
        </w:tc>
      </w:tr>
      <w:tr w:rsidR="00070B40">
        <w:trPr>
          <w:trHeight w:val="912"/>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主要病种诊断标准恰当、治疗手段合理、疗效满意、并发症合并症发生率低</w:t>
            </w:r>
          </w:p>
        </w:tc>
        <w:tc>
          <w:tcPr>
            <w:tcW w:w="720" w:type="dxa"/>
            <w:tcMar>
              <w:top w:w="15" w:type="dxa"/>
              <w:left w:w="15" w:type="dxa"/>
              <w:bottom w:w="0" w:type="dxa"/>
              <w:right w:w="15" w:type="dxa"/>
            </w:tcMar>
            <w:vAlign w:val="center"/>
          </w:tcPr>
          <w:p w:rsidR="00070B40" w:rsidRDefault="00EC383B">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50</w:t>
            </w:r>
          </w:p>
        </w:tc>
        <w:tc>
          <w:tcPr>
            <w:tcW w:w="4680"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随机抽查5个病种，每个病种抽查5份病历，查病例诊疗方案合理性，核心技术应用合理性（综合好转率、死亡率、并发症或合并症发生率）</w:t>
            </w:r>
          </w:p>
        </w:tc>
        <w:tc>
          <w:tcPr>
            <w:tcW w:w="4481"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每份病历2分，根据病历评价情况适当扣分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疑难重症诊治能力</w:t>
            </w:r>
          </w:p>
        </w:tc>
        <w:tc>
          <w:tcPr>
            <w:tcW w:w="720" w:type="dxa"/>
            <w:tcMar>
              <w:top w:w="15" w:type="dxa"/>
              <w:left w:w="15" w:type="dxa"/>
              <w:bottom w:w="0" w:type="dxa"/>
              <w:right w:w="15" w:type="dxa"/>
            </w:tcMar>
            <w:vAlign w:val="center"/>
          </w:tcPr>
          <w:p w:rsidR="00070B40" w:rsidRDefault="00EC383B">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50</w:t>
            </w:r>
          </w:p>
        </w:tc>
        <w:tc>
          <w:tcPr>
            <w:tcW w:w="4680"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抽查10份疑难重症病历，查病例诊疗方案合理性，核心技术应用合理性（综合好转率、死亡率、并发症或合并症发生率）。疑难重症病种由专家组结合本专业实际确定。感染科医师参与院内疑难重症病例的会诊及临床抗菌药物使用的指导工作</w:t>
            </w:r>
            <w:bookmarkStart w:id="2" w:name="_GoBack"/>
            <w:bookmarkEnd w:id="2"/>
          </w:p>
        </w:tc>
        <w:tc>
          <w:tcPr>
            <w:tcW w:w="4481"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每份病历4分，根据病历评价情况适当扣分</w:t>
            </w:r>
          </w:p>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感染科医师参与院内疑难重症病例的会诊，得5分；参与抗菌药物使用的指导工作，得5分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rPr>
                <w:rFonts w:ascii="宋体" w:hAnsi="宋体"/>
                <w:bCs/>
                <w:snapToGrid w:val="0"/>
                <w:color w:val="000000"/>
                <w:kern w:val="0"/>
                <w:szCs w:val="21"/>
              </w:rPr>
            </w:pPr>
            <w:r>
              <w:rPr>
                <w:rFonts w:ascii="宋体" w:hAnsi="宋体" w:hint="eastAsia"/>
                <w:bCs/>
                <w:snapToGrid w:val="0"/>
                <w:color w:val="000000"/>
                <w:kern w:val="0"/>
                <w:szCs w:val="21"/>
              </w:rPr>
              <w:t>危重症诊治能力</w:t>
            </w:r>
          </w:p>
        </w:tc>
        <w:tc>
          <w:tcPr>
            <w:tcW w:w="720" w:type="dxa"/>
            <w:tcMar>
              <w:top w:w="15" w:type="dxa"/>
              <w:left w:w="15" w:type="dxa"/>
              <w:bottom w:w="0" w:type="dxa"/>
              <w:right w:w="15" w:type="dxa"/>
            </w:tcMar>
            <w:vAlign w:val="center"/>
          </w:tcPr>
          <w:p w:rsidR="00070B40" w:rsidRDefault="00EC383B">
            <w:pPr>
              <w:jc w:val="center"/>
              <w:rPr>
                <w:rFonts w:ascii="宋体" w:hAnsi="宋体"/>
                <w:bCs/>
                <w:snapToGrid w:val="0"/>
                <w:color w:val="000000"/>
                <w:kern w:val="0"/>
                <w:szCs w:val="21"/>
              </w:rPr>
            </w:pPr>
            <w:r>
              <w:rPr>
                <w:rFonts w:ascii="宋体" w:hAnsi="宋体" w:hint="eastAsia"/>
                <w:bCs/>
                <w:snapToGrid w:val="0"/>
                <w:color w:val="000000"/>
                <w:kern w:val="0"/>
                <w:szCs w:val="21"/>
              </w:rPr>
              <w:t>50</w:t>
            </w:r>
          </w:p>
        </w:tc>
        <w:tc>
          <w:tcPr>
            <w:tcW w:w="4680" w:type="dxa"/>
            <w:tcMar>
              <w:top w:w="15" w:type="dxa"/>
              <w:left w:w="15" w:type="dxa"/>
              <w:bottom w:w="0" w:type="dxa"/>
              <w:right w:w="15" w:type="dxa"/>
            </w:tcMar>
            <w:vAlign w:val="center"/>
          </w:tcPr>
          <w:p w:rsidR="00070B40" w:rsidRDefault="00EC383B">
            <w:pPr>
              <w:rPr>
                <w:rFonts w:ascii="宋体" w:hAnsi="宋体"/>
                <w:bCs/>
                <w:snapToGrid w:val="0"/>
                <w:color w:val="000000"/>
                <w:kern w:val="0"/>
                <w:szCs w:val="21"/>
              </w:rPr>
            </w:pPr>
            <w:r>
              <w:rPr>
                <w:rFonts w:ascii="宋体" w:hAnsi="宋体" w:hint="eastAsia"/>
                <w:bCs/>
                <w:snapToGrid w:val="0"/>
                <w:color w:val="000000"/>
                <w:kern w:val="0"/>
                <w:szCs w:val="21"/>
              </w:rPr>
              <w:t>抽查10份危重症病历，查病例诊疗方案合理性，核心技术应用合理性（综合好转率、死亡率、并发症或合并症发生率）。危重病种由专家组结合本专业实际确定</w:t>
            </w:r>
          </w:p>
        </w:tc>
        <w:tc>
          <w:tcPr>
            <w:tcW w:w="4481" w:type="dxa"/>
            <w:tcMar>
              <w:top w:w="15" w:type="dxa"/>
              <w:left w:w="15" w:type="dxa"/>
              <w:bottom w:w="0" w:type="dxa"/>
              <w:right w:w="15" w:type="dxa"/>
            </w:tcMar>
            <w:vAlign w:val="center"/>
          </w:tcPr>
          <w:p w:rsidR="00070B40" w:rsidRDefault="00EC383B">
            <w:pPr>
              <w:rPr>
                <w:rFonts w:ascii="宋体" w:hAnsi="宋体"/>
                <w:bCs/>
                <w:snapToGrid w:val="0"/>
                <w:color w:val="000000"/>
                <w:kern w:val="0"/>
                <w:szCs w:val="21"/>
              </w:rPr>
            </w:pPr>
            <w:r>
              <w:rPr>
                <w:rFonts w:ascii="宋体" w:hAnsi="宋体" w:hint="eastAsia"/>
                <w:bCs/>
                <w:snapToGrid w:val="0"/>
                <w:color w:val="000000"/>
                <w:kern w:val="0"/>
                <w:szCs w:val="21"/>
              </w:rPr>
              <w:t>每份病历5分，根据病历评价情况适当扣分</w:t>
            </w:r>
          </w:p>
        </w:tc>
      </w:tr>
      <w:tr w:rsidR="00070B40">
        <w:trPr>
          <w:trHeight w:val="750"/>
          <w:jc w:val="center"/>
        </w:trPr>
        <w:tc>
          <w:tcPr>
            <w:tcW w:w="520"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14</w:t>
            </w:r>
          </w:p>
        </w:tc>
        <w:tc>
          <w:tcPr>
            <w:tcW w:w="678"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创新</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能力</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40分</w:t>
            </w:r>
          </w:p>
        </w:tc>
        <w:tc>
          <w:tcPr>
            <w:tcW w:w="3474"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创新项目的数量</w:t>
            </w:r>
          </w:p>
        </w:tc>
        <w:tc>
          <w:tcPr>
            <w:tcW w:w="720" w:type="dxa"/>
            <w:tcMar>
              <w:top w:w="15" w:type="dxa"/>
              <w:left w:w="15" w:type="dxa"/>
              <w:bottom w:w="0" w:type="dxa"/>
              <w:right w:w="15" w:type="dxa"/>
            </w:tcMar>
            <w:vAlign w:val="center"/>
          </w:tcPr>
          <w:p w:rsidR="00070B40" w:rsidRDefault="00EC383B">
            <w:pPr>
              <w:adjustRightInd w:val="0"/>
              <w:snapToGrid w:val="0"/>
              <w:spacing w:line="240" w:lineRule="exact"/>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查在评审前3年内疾病诊疗方面的新理念、新技术、新方法的创新数量</w:t>
            </w:r>
          </w:p>
        </w:tc>
        <w:tc>
          <w:tcPr>
            <w:tcW w:w="4481"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snapToGrid w:val="0"/>
                <w:color w:val="000000"/>
                <w:kern w:val="0"/>
                <w:szCs w:val="21"/>
              </w:rPr>
            </w:pPr>
            <w:r>
              <w:rPr>
                <w:rFonts w:ascii="宋体" w:hAnsi="宋体" w:hint="eastAsia"/>
                <w:bCs/>
                <w:snapToGrid w:val="0"/>
                <w:color w:val="000000"/>
                <w:kern w:val="0"/>
                <w:szCs w:val="21"/>
              </w:rPr>
              <w:t>评审前3年，均有创新项目，带动诊疗技术水平不断提高，得10分；创新项目少，适当扣分；临床诊疗水平停滞不前，不得分</w:t>
            </w:r>
          </w:p>
        </w:tc>
      </w:tr>
      <w:tr w:rsidR="00070B40">
        <w:trPr>
          <w:trHeight w:val="604"/>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对新业务、新技术开展有计划，并按项目进行管理</w:t>
            </w:r>
          </w:p>
        </w:tc>
        <w:tc>
          <w:tcPr>
            <w:tcW w:w="720" w:type="dxa"/>
            <w:tcMar>
              <w:top w:w="15" w:type="dxa"/>
              <w:left w:w="15" w:type="dxa"/>
              <w:bottom w:w="0" w:type="dxa"/>
              <w:right w:w="15" w:type="dxa"/>
            </w:tcMar>
            <w:vAlign w:val="center"/>
          </w:tcPr>
          <w:p w:rsidR="00070B40" w:rsidRDefault="00EC383B">
            <w:pPr>
              <w:adjustRightInd w:val="0"/>
              <w:snapToGrid w:val="0"/>
              <w:spacing w:line="240" w:lineRule="exact"/>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查项目管理资料，项目开展是否经过论证、评估，是否按期完成并产生效益</w:t>
            </w:r>
          </w:p>
        </w:tc>
        <w:tc>
          <w:tcPr>
            <w:tcW w:w="4481"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无计划、未开展不得分；有计划已开展，但未按项目管理一项次扣5分。未产生效益不得分</w:t>
            </w:r>
          </w:p>
        </w:tc>
      </w:tr>
      <w:tr w:rsidR="00070B40">
        <w:trPr>
          <w:trHeight w:val="529"/>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创新水平</w:t>
            </w:r>
          </w:p>
        </w:tc>
        <w:tc>
          <w:tcPr>
            <w:tcW w:w="720" w:type="dxa"/>
            <w:tcMar>
              <w:top w:w="15" w:type="dxa"/>
              <w:left w:w="15" w:type="dxa"/>
              <w:bottom w:w="0" w:type="dxa"/>
              <w:right w:w="15" w:type="dxa"/>
            </w:tcMar>
            <w:vAlign w:val="center"/>
          </w:tcPr>
          <w:p w:rsidR="00070B40" w:rsidRDefault="00EC383B">
            <w:pPr>
              <w:adjustRightInd w:val="0"/>
              <w:snapToGrid w:val="0"/>
              <w:spacing w:line="240" w:lineRule="exact"/>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查2项创新项目</w:t>
            </w:r>
          </w:p>
        </w:tc>
        <w:tc>
          <w:tcPr>
            <w:tcW w:w="4481"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2项创新项目具有先进性且临床应用好，得10分；1项创新项目具有先进性且临床应用好得5分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创新项目的临床转化能力</w:t>
            </w:r>
          </w:p>
        </w:tc>
        <w:tc>
          <w:tcPr>
            <w:tcW w:w="720" w:type="dxa"/>
            <w:tcMar>
              <w:top w:w="15" w:type="dxa"/>
              <w:left w:w="15" w:type="dxa"/>
              <w:bottom w:w="0" w:type="dxa"/>
              <w:right w:w="15" w:type="dxa"/>
            </w:tcMar>
            <w:vAlign w:val="center"/>
          </w:tcPr>
          <w:p w:rsidR="00070B40" w:rsidRDefault="00EC383B">
            <w:pPr>
              <w:adjustRightInd w:val="0"/>
              <w:snapToGrid w:val="0"/>
              <w:spacing w:line="240" w:lineRule="exact"/>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查创新项目的临床转化情况</w:t>
            </w:r>
          </w:p>
        </w:tc>
        <w:tc>
          <w:tcPr>
            <w:tcW w:w="4481"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创新项目的临床转化能力强，得10分；转化能力一般，得5分；不能转化为临床使用则不得分</w:t>
            </w:r>
          </w:p>
        </w:tc>
      </w:tr>
      <w:tr w:rsidR="00070B40">
        <w:trPr>
          <w:trHeight w:val="730"/>
          <w:jc w:val="center"/>
        </w:trPr>
        <w:tc>
          <w:tcPr>
            <w:tcW w:w="520"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lastRenderedPageBreak/>
              <w:t>15</w:t>
            </w:r>
          </w:p>
        </w:tc>
        <w:tc>
          <w:tcPr>
            <w:tcW w:w="678"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辐射</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能力</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40分</w:t>
            </w:r>
          </w:p>
        </w:tc>
        <w:tc>
          <w:tcPr>
            <w:tcW w:w="3474"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年出院患者中外埠患者比例≥30%</w:t>
            </w:r>
          </w:p>
        </w:tc>
        <w:tc>
          <w:tcPr>
            <w:tcW w:w="720" w:type="dxa"/>
            <w:tcMar>
              <w:top w:w="15" w:type="dxa"/>
              <w:left w:w="15" w:type="dxa"/>
              <w:bottom w:w="0" w:type="dxa"/>
              <w:right w:w="15" w:type="dxa"/>
            </w:tcMar>
            <w:vAlign w:val="center"/>
          </w:tcPr>
          <w:p w:rsidR="00070B40" w:rsidRDefault="00EC383B">
            <w:pPr>
              <w:adjustRightInd w:val="0"/>
              <w:snapToGrid w:val="0"/>
              <w:spacing w:line="240" w:lineRule="exact"/>
              <w:jc w:val="center"/>
              <w:rPr>
                <w:rFonts w:ascii="宋体" w:hAnsi="宋体"/>
                <w:snapToGrid w:val="0"/>
                <w:color w:val="000000"/>
                <w:kern w:val="0"/>
                <w:szCs w:val="21"/>
              </w:rPr>
            </w:pPr>
            <w:r>
              <w:rPr>
                <w:rFonts w:ascii="宋体" w:hAnsi="宋体" w:hint="eastAsia"/>
                <w:snapToGrid w:val="0"/>
                <w:color w:val="000000"/>
                <w:kern w:val="0"/>
                <w:szCs w:val="21"/>
              </w:rPr>
              <w:t>15</w:t>
            </w:r>
          </w:p>
        </w:tc>
        <w:tc>
          <w:tcPr>
            <w:tcW w:w="4680"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查资料</w:t>
            </w:r>
          </w:p>
        </w:tc>
        <w:tc>
          <w:tcPr>
            <w:tcW w:w="4481"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比例≥40%得满分，每降低1%扣1.5分。</w:t>
            </w:r>
          </w:p>
        </w:tc>
      </w:tr>
      <w:tr w:rsidR="00070B40">
        <w:trPr>
          <w:trHeight w:val="533"/>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接受下级医院急危重症和疑难病患者情况</w:t>
            </w:r>
          </w:p>
        </w:tc>
        <w:tc>
          <w:tcPr>
            <w:tcW w:w="720" w:type="dxa"/>
            <w:tcMar>
              <w:top w:w="15" w:type="dxa"/>
              <w:left w:w="15" w:type="dxa"/>
              <w:bottom w:w="0" w:type="dxa"/>
              <w:right w:w="15" w:type="dxa"/>
            </w:tcMar>
            <w:vAlign w:val="center"/>
          </w:tcPr>
          <w:p w:rsidR="00070B40" w:rsidRDefault="00EC383B">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10</w:t>
            </w:r>
          </w:p>
        </w:tc>
        <w:tc>
          <w:tcPr>
            <w:tcW w:w="4680"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查有关资料</w:t>
            </w:r>
          </w:p>
        </w:tc>
        <w:tc>
          <w:tcPr>
            <w:tcW w:w="4481"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下级医院转入急危重症和疑难病患者≥20%得10分，每降低1% 扣1分。</w:t>
            </w:r>
          </w:p>
        </w:tc>
      </w:tr>
      <w:tr w:rsidR="00070B40">
        <w:trPr>
          <w:trHeight w:val="60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对口支援情况</w:t>
            </w:r>
          </w:p>
        </w:tc>
        <w:tc>
          <w:tcPr>
            <w:tcW w:w="720" w:type="dxa"/>
            <w:tcMar>
              <w:top w:w="15" w:type="dxa"/>
              <w:left w:w="15" w:type="dxa"/>
              <w:bottom w:w="0" w:type="dxa"/>
              <w:right w:w="15" w:type="dxa"/>
            </w:tcMar>
            <w:vAlign w:val="center"/>
          </w:tcPr>
          <w:p w:rsidR="00070B40" w:rsidRDefault="00EC383B">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5</w:t>
            </w:r>
          </w:p>
        </w:tc>
        <w:tc>
          <w:tcPr>
            <w:tcW w:w="4680"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查有关资料，调取下级医院相关资料</w:t>
            </w:r>
          </w:p>
        </w:tc>
        <w:tc>
          <w:tcPr>
            <w:tcW w:w="4481"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对3家及以上医院进行对口支援，得5分，每少1家扣2分</w:t>
            </w:r>
          </w:p>
        </w:tc>
      </w:tr>
      <w:tr w:rsidR="00070B40">
        <w:trPr>
          <w:trHeight w:val="764"/>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技术推广情况</w:t>
            </w:r>
          </w:p>
        </w:tc>
        <w:tc>
          <w:tcPr>
            <w:tcW w:w="720" w:type="dxa"/>
            <w:tcMar>
              <w:top w:w="15" w:type="dxa"/>
              <w:left w:w="15" w:type="dxa"/>
              <w:bottom w:w="0" w:type="dxa"/>
              <w:right w:w="15" w:type="dxa"/>
            </w:tcMar>
            <w:vAlign w:val="center"/>
          </w:tcPr>
          <w:p w:rsidR="00070B40" w:rsidRDefault="00EC383B">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5</w:t>
            </w:r>
          </w:p>
        </w:tc>
        <w:tc>
          <w:tcPr>
            <w:tcW w:w="4680"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评审前3年，每年举办技术推广培训班</w:t>
            </w:r>
          </w:p>
        </w:tc>
        <w:tc>
          <w:tcPr>
            <w:tcW w:w="4481"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未举办技术推广会议或培训不得分，1年未举办扣2分</w:t>
            </w:r>
          </w:p>
        </w:tc>
      </w:tr>
      <w:tr w:rsidR="00070B40">
        <w:trPr>
          <w:trHeight w:val="591"/>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受邀在省级以上学术会议上做学术报告</w:t>
            </w:r>
          </w:p>
        </w:tc>
        <w:tc>
          <w:tcPr>
            <w:tcW w:w="720" w:type="dxa"/>
            <w:tcMar>
              <w:top w:w="15" w:type="dxa"/>
              <w:left w:w="15" w:type="dxa"/>
              <w:bottom w:w="0" w:type="dxa"/>
              <w:right w:w="15" w:type="dxa"/>
            </w:tcMar>
            <w:vAlign w:val="center"/>
          </w:tcPr>
          <w:p w:rsidR="00070B40" w:rsidRDefault="00EC383B">
            <w:pPr>
              <w:adjustRightInd w:val="0"/>
              <w:snapToGrid w:val="0"/>
              <w:spacing w:line="240" w:lineRule="exact"/>
              <w:jc w:val="center"/>
              <w:rPr>
                <w:rFonts w:ascii="宋体" w:hAnsi="宋体"/>
                <w:bCs/>
                <w:snapToGrid w:val="0"/>
                <w:color w:val="000000"/>
                <w:kern w:val="0"/>
                <w:szCs w:val="21"/>
              </w:rPr>
            </w:pPr>
            <w:r>
              <w:rPr>
                <w:rFonts w:ascii="宋体" w:hAnsi="宋体" w:hint="eastAsia"/>
                <w:bCs/>
                <w:snapToGrid w:val="0"/>
                <w:color w:val="000000"/>
                <w:kern w:val="0"/>
                <w:szCs w:val="21"/>
              </w:rPr>
              <w:t>5</w:t>
            </w:r>
          </w:p>
        </w:tc>
        <w:tc>
          <w:tcPr>
            <w:tcW w:w="4680"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查评审前3年学术交流有关资料</w:t>
            </w:r>
          </w:p>
        </w:tc>
        <w:tc>
          <w:tcPr>
            <w:tcW w:w="4481"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大会报告每次2分，书面交流每次1分，最高不超过标准分</w:t>
            </w:r>
          </w:p>
        </w:tc>
      </w:tr>
      <w:tr w:rsidR="00070B40">
        <w:trPr>
          <w:trHeight w:val="340"/>
          <w:jc w:val="center"/>
        </w:trPr>
        <w:tc>
          <w:tcPr>
            <w:tcW w:w="5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四</w:t>
            </w:r>
          </w:p>
        </w:tc>
        <w:tc>
          <w:tcPr>
            <w:tcW w:w="4152" w:type="dxa"/>
            <w:gridSpan w:val="2"/>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医疗质量状况</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230</w:t>
            </w:r>
          </w:p>
        </w:tc>
        <w:tc>
          <w:tcPr>
            <w:tcW w:w="9161" w:type="dxa"/>
            <w:gridSpan w:val="2"/>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r>
      <w:tr w:rsidR="00070B40">
        <w:trPr>
          <w:trHeight w:val="340"/>
          <w:jc w:val="center"/>
        </w:trPr>
        <w:tc>
          <w:tcPr>
            <w:tcW w:w="520"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16</w:t>
            </w:r>
          </w:p>
        </w:tc>
        <w:tc>
          <w:tcPr>
            <w:tcW w:w="678"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质量</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概况</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85分</w:t>
            </w:r>
          </w:p>
        </w:tc>
        <w:tc>
          <w:tcPr>
            <w:tcW w:w="3474"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bCs/>
                <w:snapToGrid w:val="0"/>
                <w:color w:val="000000"/>
                <w:kern w:val="0"/>
                <w:szCs w:val="21"/>
              </w:rPr>
              <w:t>合理检查</w:t>
            </w:r>
          </w:p>
        </w:tc>
        <w:tc>
          <w:tcPr>
            <w:tcW w:w="720" w:type="dxa"/>
            <w:tcMar>
              <w:top w:w="15" w:type="dxa"/>
              <w:left w:w="15" w:type="dxa"/>
              <w:bottom w:w="0" w:type="dxa"/>
              <w:right w:w="15" w:type="dxa"/>
            </w:tcMar>
            <w:vAlign w:val="center"/>
          </w:tcPr>
          <w:p w:rsidR="00070B40" w:rsidRDefault="00EC383B">
            <w:pPr>
              <w:adjustRightInd w:val="0"/>
              <w:snapToGrid w:val="0"/>
              <w:spacing w:line="240" w:lineRule="exact"/>
              <w:jc w:val="center"/>
              <w:rPr>
                <w:rFonts w:ascii="宋体" w:hAnsi="宋体"/>
                <w:snapToGrid w:val="0"/>
                <w:color w:val="000000"/>
                <w:kern w:val="0"/>
                <w:szCs w:val="21"/>
              </w:rPr>
            </w:pPr>
            <w:r>
              <w:rPr>
                <w:rFonts w:ascii="宋体" w:hAnsi="宋体" w:hint="eastAsia"/>
                <w:snapToGrid w:val="0"/>
                <w:color w:val="000000"/>
                <w:kern w:val="0"/>
                <w:szCs w:val="21"/>
              </w:rPr>
              <w:t>15</w:t>
            </w:r>
          </w:p>
        </w:tc>
        <w:tc>
          <w:tcPr>
            <w:tcW w:w="4680"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抽查10份病历，检查项目是否合理</w:t>
            </w:r>
          </w:p>
        </w:tc>
        <w:tc>
          <w:tcPr>
            <w:tcW w:w="4481"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1份病历不合理扣2分</w:t>
            </w:r>
          </w:p>
        </w:tc>
      </w:tr>
      <w:tr w:rsidR="00070B40">
        <w:trPr>
          <w:trHeight w:val="1318"/>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snapToGrid w:val="0"/>
                <w:color w:val="000000"/>
                <w:kern w:val="0"/>
                <w:szCs w:val="21"/>
              </w:rPr>
            </w:pPr>
            <w:r>
              <w:rPr>
                <w:rFonts w:ascii="宋体" w:hAnsi="宋体" w:hint="eastAsia"/>
                <w:bCs/>
                <w:snapToGrid w:val="0"/>
                <w:color w:val="000000"/>
                <w:kern w:val="0"/>
                <w:szCs w:val="21"/>
              </w:rPr>
              <w:t>合理用药</w:t>
            </w:r>
          </w:p>
        </w:tc>
        <w:tc>
          <w:tcPr>
            <w:tcW w:w="720" w:type="dxa"/>
            <w:tcMar>
              <w:top w:w="15" w:type="dxa"/>
              <w:left w:w="15" w:type="dxa"/>
              <w:bottom w:w="0" w:type="dxa"/>
              <w:right w:w="15" w:type="dxa"/>
            </w:tcMar>
            <w:vAlign w:val="center"/>
          </w:tcPr>
          <w:p w:rsidR="00070B40" w:rsidRDefault="00EC383B">
            <w:pPr>
              <w:adjustRightInd w:val="0"/>
              <w:snapToGrid w:val="0"/>
              <w:spacing w:line="240" w:lineRule="exact"/>
              <w:jc w:val="center"/>
              <w:rPr>
                <w:rFonts w:ascii="宋体" w:hAnsi="宋体"/>
                <w:snapToGrid w:val="0"/>
                <w:color w:val="000000"/>
                <w:kern w:val="0"/>
                <w:szCs w:val="21"/>
              </w:rPr>
            </w:pPr>
            <w:r>
              <w:rPr>
                <w:rFonts w:ascii="宋体" w:hAnsi="宋体" w:hint="eastAsia"/>
                <w:snapToGrid w:val="0"/>
                <w:color w:val="000000"/>
                <w:kern w:val="0"/>
                <w:szCs w:val="21"/>
              </w:rPr>
              <w:t>40</w:t>
            </w:r>
          </w:p>
        </w:tc>
        <w:tc>
          <w:tcPr>
            <w:tcW w:w="4680"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抽查10份病历，检查用药是否合理，包括项目：用药适应证是否明确、预防应用抗菌素合理性、联合应用抗菌素正确性、有无明显的药物配伍禁忌、是否根据药敏实验使用抗菌素、有否重复用药，具体按《抗菌药物临床应用指导原则》判定</w:t>
            </w:r>
          </w:p>
        </w:tc>
        <w:tc>
          <w:tcPr>
            <w:tcW w:w="4481"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1份病历不合理扣5分</w:t>
            </w:r>
          </w:p>
        </w:tc>
      </w:tr>
      <w:tr w:rsidR="00070B40">
        <w:trPr>
          <w:trHeight w:val="755"/>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jc w:val="left"/>
              <w:rPr>
                <w:rFonts w:ascii="宋体" w:hAnsi="宋体"/>
                <w:bCs/>
                <w:snapToGrid w:val="0"/>
                <w:color w:val="000000"/>
                <w:kern w:val="0"/>
                <w:szCs w:val="21"/>
              </w:rPr>
            </w:pPr>
            <w:r>
              <w:rPr>
                <w:rFonts w:ascii="宋体" w:hAnsi="宋体" w:hint="eastAsia"/>
                <w:bCs/>
                <w:snapToGrid w:val="0"/>
                <w:color w:val="000000"/>
                <w:kern w:val="0"/>
                <w:szCs w:val="21"/>
              </w:rPr>
              <w:t>合理用血</w:t>
            </w:r>
          </w:p>
        </w:tc>
        <w:tc>
          <w:tcPr>
            <w:tcW w:w="720" w:type="dxa"/>
            <w:tcMar>
              <w:top w:w="15" w:type="dxa"/>
              <w:left w:w="15" w:type="dxa"/>
              <w:bottom w:w="0" w:type="dxa"/>
              <w:right w:w="15" w:type="dxa"/>
            </w:tcMar>
            <w:vAlign w:val="center"/>
          </w:tcPr>
          <w:p w:rsidR="00070B40" w:rsidRDefault="00EC383B">
            <w:pPr>
              <w:jc w:val="center"/>
              <w:rPr>
                <w:rFonts w:ascii="宋体" w:hAnsi="宋体"/>
                <w:bCs/>
                <w:snapToGrid w:val="0"/>
                <w:color w:val="000000"/>
                <w:kern w:val="0"/>
                <w:szCs w:val="21"/>
              </w:rPr>
            </w:pPr>
            <w:r>
              <w:rPr>
                <w:rFonts w:ascii="宋体" w:hAnsi="宋体" w:hint="eastAsia"/>
                <w:bCs/>
                <w:snapToGrid w:val="0"/>
                <w:color w:val="000000"/>
                <w:kern w:val="0"/>
                <w:szCs w:val="21"/>
              </w:rPr>
              <w:t>20</w:t>
            </w:r>
          </w:p>
        </w:tc>
        <w:tc>
          <w:tcPr>
            <w:tcW w:w="4680" w:type="dxa"/>
            <w:tcMar>
              <w:top w:w="15" w:type="dxa"/>
              <w:left w:w="15" w:type="dxa"/>
              <w:bottom w:w="0" w:type="dxa"/>
              <w:right w:w="15" w:type="dxa"/>
            </w:tcMar>
            <w:vAlign w:val="center"/>
          </w:tcPr>
          <w:p w:rsidR="00070B40" w:rsidRDefault="00EC383B">
            <w:pPr>
              <w:rPr>
                <w:rFonts w:ascii="宋体" w:hAnsi="宋体"/>
                <w:bCs/>
                <w:snapToGrid w:val="0"/>
                <w:color w:val="000000"/>
                <w:kern w:val="0"/>
                <w:szCs w:val="21"/>
              </w:rPr>
            </w:pPr>
            <w:r>
              <w:rPr>
                <w:rFonts w:ascii="宋体" w:hAnsi="宋体" w:hint="eastAsia"/>
                <w:bCs/>
                <w:snapToGrid w:val="0"/>
                <w:color w:val="000000"/>
                <w:kern w:val="0"/>
                <w:szCs w:val="21"/>
              </w:rPr>
              <w:t>抽查10份用血病历，检查是否严格遵守输血禁忌症，临床用血是否科学、合理</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bCs/>
                <w:snapToGrid w:val="0"/>
                <w:color w:val="000000"/>
                <w:kern w:val="0"/>
                <w:szCs w:val="21"/>
              </w:rPr>
              <w:t>1分病历不合理扣4分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无重大医疗事故发生</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查记录</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发生三、四级医疗事故负主要责任不得分，次要责任5分/次</w:t>
            </w:r>
          </w:p>
        </w:tc>
      </w:tr>
      <w:tr w:rsidR="00070B40">
        <w:trPr>
          <w:trHeight w:val="340"/>
          <w:jc w:val="center"/>
        </w:trPr>
        <w:tc>
          <w:tcPr>
            <w:tcW w:w="520"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17</w:t>
            </w:r>
          </w:p>
        </w:tc>
        <w:tc>
          <w:tcPr>
            <w:tcW w:w="678"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门诊</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质量</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30分</w:t>
            </w:r>
          </w:p>
        </w:tc>
        <w:tc>
          <w:tcPr>
            <w:tcW w:w="3474" w:type="dxa"/>
            <w:tcMar>
              <w:top w:w="15" w:type="dxa"/>
              <w:left w:w="15" w:type="dxa"/>
              <w:bottom w:w="0" w:type="dxa"/>
              <w:right w:w="15" w:type="dxa"/>
            </w:tcMar>
            <w:vAlign w:val="center"/>
          </w:tcPr>
          <w:p w:rsidR="00070B40" w:rsidRDefault="00EC383B">
            <w:pPr>
              <w:rPr>
                <w:rFonts w:ascii="宋体" w:hAnsi="宋体"/>
                <w:bCs/>
                <w:snapToGrid w:val="0"/>
                <w:color w:val="000000"/>
                <w:kern w:val="0"/>
                <w:szCs w:val="21"/>
              </w:rPr>
            </w:pPr>
            <w:r>
              <w:rPr>
                <w:rFonts w:ascii="宋体" w:hAnsi="宋体" w:hint="eastAsia"/>
                <w:bCs/>
                <w:snapToGrid w:val="0"/>
                <w:color w:val="000000"/>
                <w:kern w:val="0"/>
                <w:szCs w:val="21"/>
              </w:rPr>
              <w:t>专家门诊情况</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查看相关资料及工作记录并实地查看</w:t>
            </w:r>
          </w:p>
        </w:tc>
        <w:tc>
          <w:tcPr>
            <w:tcW w:w="4481" w:type="dxa"/>
            <w:tcMar>
              <w:top w:w="15" w:type="dxa"/>
              <w:left w:w="15" w:type="dxa"/>
              <w:bottom w:w="0" w:type="dxa"/>
              <w:right w:w="15" w:type="dxa"/>
            </w:tcMar>
            <w:vAlign w:val="center"/>
          </w:tcPr>
          <w:p w:rsidR="00070B40" w:rsidRDefault="00EC383B">
            <w:pPr>
              <w:rPr>
                <w:rFonts w:ascii="宋体" w:hAnsi="宋体"/>
                <w:bCs/>
                <w:snapToGrid w:val="0"/>
                <w:color w:val="000000"/>
                <w:kern w:val="0"/>
                <w:szCs w:val="21"/>
              </w:rPr>
            </w:pPr>
            <w:r>
              <w:rPr>
                <w:rFonts w:ascii="宋体" w:hAnsi="宋体" w:hint="eastAsia"/>
                <w:bCs/>
                <w:snapToGrid w:val="0"/>
                <w:color w:val="000000"/>
                <w:kern w:val="0"/>
                <w:szCs w:val="21"/>
              </w:rPr>
              <w:t>每天均安排高级职称人员出门诊，所有专家每周至少出1次门诊，得10分。有一人不符合要求扣2分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rPr>
                <w:rFonts w:ascii="宋体" w:hAnsi="宋体"/>
                <w:bCs/>
                <w:snapToGrid w:val="0"/>
                <w:color w:val="000000"/>
                <w:kern w:val="0"/>
                <w:szCs w:val="21"/>
              </w:rPr>
            </w:pPr>
            <w:r>
              <w:rPr>
                <w:rFonts w:ascii="宋体" w:hAnsi="宋体" w:hint="eastAsia"/>
                <w:bCs/>
                <w:snapToGrid w:val="0"/>
                <w:color w:val="000000"/>
                <w:kern w:val="0"/>
                <w:szCs w:val="21"/>
              </w:rPr>
              <w:t>开设本专科专病门诊</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查看相关文件、实地查看</w:t>
            </w:r>
          </w:p>
        </w:tc>
        <w:tc>
          <w:tcPr>
            <w:tcW w:w="4481" w:type="dxa"/>
            <w:tcMar>
              <w:top w:w="15" w:type="dxa"/>
              <w:left w:w="15" w:type="dxa"/>
              <w:bottom w:w="0" w:type="dxa"/>
              <w:right w:w="15" w:type="dxa"/>
            </w:tcMar>
            <w:vAlign w:val="center"/>
          </w:tcPr>
          <w:p w:rsidR="00070B40" w:rsidRDefault="00EC383B">
            <w:pPr>
              <w:rPr>
                <w:rFonts w:ascii="宋体" w:hAnsi="宋体"/>
                <w:bCs/>
                <w:snapToGrid w:val="0"/>
                <w:color w:val="000000"/>
                <w:kern w:val="0"/>
                <w:szCs w:val="21"/>
              </w:rPr>
            </w:pPr>
            <w:r>
              <w:rPr>
                <w:rFonts w:ascii="宋体" w:hAnsi="宋体" w:hint="eastAsia"/>
                <w:bCs/>
                <w:snapToGrid w:val="0"/>
                <w:color w:val="000000"/>
                <w:kern w:val="0"/>
                <w:szCs w:val="21"/>
              </w:rPr>
              <w:t>开设专病门诊得10分，未开设，不得分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rPr>
                <w:rFonts w:ascii="宋体" w:hAnsi="宋体"/>
                <w:bCs/>
                <w:snapToGrid w:val="0"/>
                <w:color w:val="000000"/>
                <w:kern w:val="0"/>
                <w:szCs w:val="21"/>
              </w:rPr>
            </w:pPr>
            <w:r>
              <w:rPr>
                <w:rFonts w:ascii="宋体" w:hAnsi="宋体" w:hint="eastAsia"/>
                <w:bCs/>
                <w:snapToGrid w:val="0"/>
                <w:color w:val="000000"/>
                <w:szCs w:val="21"/>
              </w:rPr>
              <w:t>门诊患者中预约挂号情况</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查看相关记录，实地查看</w:t>
            </w:r>
          </w:p>
        </w:tc>
        <w:tc>
          <w:tcPr>
            <w:tcW w:w="4481" w:type="dxa"/>
            <w:tcMar>
              <w:top w:w="15" w:type="dxa"/>
              <w:left w:w="15" w:type="dxa"/>
              <w:bottom w:w="0" w:type="dxa"/>
              <w:right w:w="15" w:type="dxa"/>
            </w:tcMar>
            <w:vAlign w:val="center"/>
          </w:tcPr>
          <w:p w:rsidR="00070B40" w:rsidRDefault="00EC383B">
            <w:pPr>
              <w:rPr>
                <w:rFonts w:ascii="宋体" w:hAnsi="宋体"/>
                <w:bCs/>
                <w:snapToGrid w:val="0"/>
                <w:color w:val="000000"/>
                <w:kern w:val="0"/>
                <w:szCs w:val="21"/>
              </w:rPr>
            </w:pPr>
            <w:r>
              <w:rPr>
                <w:rFonts w:ascii="宋体" w:hAnsi="宋体" w:hint="eastAsia"/>
                <w:bCs/>
                <w:snapToGrid w:val="0"/>
                <w:color w:val="000000"/>
                <w:kern w:val="0"/>
                <w:szCs w:val="21"/>
              </w:rPr>
              <w:t>已开展工作得10分</w:t>
            </w:r>
          </w:p>
        </w:tc>
      </w:tr>
      <w:tr w:rsidR="00070B40">
        <w:trPr>
          <w:trHeight w:val="340"/>
          <w:jc w:val="center"/>
        </w:trPr>
        <w:tc>
          <w:tcPr>
            <w:tcW w:w="520"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18</w:t>
            </w:r>
          </w:p>
        </w:tc>
        <w:tc>
          <w:tcPr>
            <w:tcW w:w="678"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病区</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质量</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95分</w:t>
            </w:r>
          </w:p>
        </w:tc>
        <w:tc>
          <w:tcPr>
            <w:tcW w:w="3474" w:type="dxa"/>
            <w:tcMar>
              <w:top w:w="15" w:type="dxa"/>
              <w:left w:w="15" w:type="dxa"/>
              <w:bottom w:w="0" w:type="dxa"/>
              <w:right w:w="15" w:type="dxa"/>
            </w:tcMar>
            <w:vAlign w:val="center"/>
          </w:tcPr>
          <w:p w:rsidR="00070B40" w:rsidRDefault="00EC383B">
            <w:pPr>
              <w:rPr>
                <w:rFonts w:ascii="宋体" w:hAnsi="宋体"/>
                <w:bCs/>
                <w:snapToGrid w:val="0"/>
                <w:color w:val="000000"/>
                <w:kern w:val="0"/>
                <w:szCs w:val="21"/>
              </w:rPr>
            </w:pPr>
            <w:r>
              <w:rPr>
                <w:rFonts w:ascii="宋体" w:hAnsi="宋体" w:hint="eastAsia"/>
                <w:bCs/>
                <w:snapToGrid w:val="0"/>
                <w:color w:val="000000"/>
                <w:szCs w:val="21"/>
              </w:rPr>
              <w:t>诊断符合率</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随机抽查20份病历</w:t>
            </w:r>
          </w:p>
        </w:tc>
        <w:tc>
          <w:tcPr>
            <w:tcW w:w="4481" w:type="dxa"/>
            <w:tcMar>
              <w:top w:w="15" w:type="dxa"/>
              <w:left w:w="15" w:type="dxa"/>
              <w:bottom w:w="0" w:type="dxa"/>
              <w:right w:w="15" w:type="dxa"/>
            </w:tcMar>
            <w:vAlign w:val="center"/>
          </w:tcPr>
          <w:p w:rsidR="00070B40" w:rsidRDefault="00EC383B">
            <w:pPr>
              <w:rPr>
                <w:rFonts w:ascii="宋体" w:hAnsi="宋体"/>
                <w:bCs/>
                <w:snapToGrid w:val="0"/>
                <w:color w:val="000000"/>
                <w:kern w:val="0"/>
                <w:szCs w:val="21"/>
              </w:rPr>
            </w:pPr>
            <w:r>
              <w:rPr>
                <w:rFonts w:ascii="宋体" w:hAnsi="宋体" w:hint="eastAsia"/>
                <w:bCs/>
                <w:snapToGrid w:val="0"/>
                <w:color w:val="000000"/>
                <w:szCs w:val="21"/>
              </w:rPr>
              <w:t>诊断符合率</w:t>
            </w:r>
            <w:r>
              <w:rPr>
                <w:rFonts w:ascii="宋体" w:hAnsi="宋体" w:hint="eastAsia"/>
                <w:bCs/>
                <w:snapToGrid w:val="0"/>
                <w:color w:val="000000"/>
                <w:kern w:val="0"/>
                <w:szCs w:val="21"/>
              </w:rPr>
              <w:t>＜95%，不得分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rPr>
                <w:rFonts w:ascii="宋体" w:hAnsi="宋体"/>
                <w:bCs/>
                <w:snapToGrid w:val="0"/>
                <w:color w:val="000000"/>
                <w:kern w:val="0"/>
                <w:szCs w:val="21"/>
              </w:rPr>
            </w:pPr>
            <w:r>
              <w:rPr>
                <w:rFonts w:ascii="宋体" w:hAnsi="宋体" w:hint="eastAsia"/>
                <w:bCs/>
                <w:snapToGrid w:val="0"/>
                <w:color w:val="000000"/>
                <w:szCs w:val="21"/>
              </w:rPr>
              <w:t>临床主要诊断、病理诊断符合率</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随机抽查20份病历</w:t>
            </w:r>
          </w:p>
        </w:tc>
        <w:tc>
          <w:tcPr>
            <w:tcW w:w="4481" w:type="dxa"/>
            <w:tcMar>
              <w:top w:w="15" w:type="dxa"/>
              <w:left w:w="15" w:type="dxa"/>
              <w:bottom w:w="0" w:type="dxa"/>
              <w:right w:w="15" w:type="dxa"/>
            </w:tcMar>
            <w:vAlign w:val="center"/>
          </w:tcPr>
          <w:p w:rsidR="00070B40" w:rsidRDefault="00EC383B">
            <w:pPr>
              <w:rPr>
                <w:rFonts w:ascii="宋体" w:hAnsi="宋体"/>
                <w:bCs/>
                <w:snapToGrid w:val="0"/>
                <w:color w:val="000000"/>
                <w:kern w:val="0"/>
                <w:szCs w:val="21"/>
              </w:rPr>
            </w:pPr>
            <w:r>
              <w:rPr>
                <w:rFonts w:ascii="宋体" w:hAnsi="宋体" w:hint="eastAsia"/>
                <w:bCs/>
                <w:snapToGrid w:val="0"/>
                <w:color w:val="000000"/>
                <w:szCs w:val="21"/>
              </w:rPr>
              <w:t>临床主要诊断、病理诊断符合率</w:t>
            </w:r>
            <w:r>
              <w:rPr>
                <w:rFonts w:ascii="宋体" w:hAnsi="宋体" w:hint="eastAsia"/>
                <w:bCs/>
                <w:snapToGrid w:val="0"/>
                <w:color w:val="000000"/>
                <w:kern w:val="0"/>
                <w:szCs w:val="21"/>
              </w:rPr>
              <w:t>＜70%，不得分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rPr>
                <w:rFonts w:ascii="宋体" w:hAnsi="宋体"/>
                <w:b/>
                <w:bCs/>
                <w:i/>
                <w:snapToGrid w:val="0"/>
                <w:color w:val="000000"/>
                <w:szCs w:val="21"/>
              </w:rPr>
            </w:pPr>
            <w:r>
              <w:rPr>
                <w:rFonts w:ascii="宋体" w:hAnsi="宋体" w:hint="eastAsia"/>
                <w:bCs/>
                <w:snapToGrid w:val="0"/>
                <w:color w:val="000000"/>
                <w:kern w:val="0"/>
                <w:szCs w:val="21"/>
              </w:rPr>
              <w:t>甲级病案率</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15</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随机抽查20份病历</w:t>
            </w:r>
          </w:p>
        </w:tc>
        <w:tc>
          <w:tcPr>
            <w:tcW w:w="4481" w:type="dxa"/>
            <w:tcMar>
              <w:top w:w="15" w:type="dxa"/>
              <w:left w:w="15" w:type="dxa"/>
              <w:bottom w:w="0" w:type="dxa"/>
              <w:right w:w="15" w:type="dxa"/>
            </w:tcMar>
            <w:vAlign w:val="center"/>
          </w:tcPr>
          <w:p w:rsidR="00070B40" w:rsidRDefault="00EC383B">
            <w:pPr>
              <w:rPr>
                <w:rFonts w:ascii="宋体" w:hAnsi="宋体"/>
                <w:bCs/>
                <w:snapToGrid w:val="0"/>
                <w:color w:val="000000"/>
                <w:kern w:val="0"/>
                <w:szCs w:val="21"/>
              </w:rPr>
            </w:pPr>
            <w:r>
              <w:rPr>
                <w:rFonts w:ascii="宋体" w:hAnsi="宋体" w:hint="eastAsia"/>
                <w:bCs/>
                <w:snapToGrid w:val="0"/>
                <w:color w:val="000000"/>
                <w:kern w:val="0"/>
                <w:szCs w:val="21"/>
              </w:rPr>
              <w:t>甲级病案率＜90%，每降1%，扣3分，有丙级病历不得分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rPr>
                <w:rFonts w:ascii="宋体" w:hAnsi="宋体"/>
                <w:b/>
                <w:bCs/>
                <w:i/>
                <w:snapToGrid w:val="0"/>
                <w:color w:val="000000"/>
                <w:szCs w:val="21"/>
              </w:rPr>
            </w:pPr>
            <w:r>
              <w:rPr>
                <w:rFonts w:ascii="宋体" w:hAnsi="宋体" w:hint="eastAsia"/>
                <w:bCs/>
                <w:snapToGrid w:val="0"/>
                <w:color w:val="000000"/>
                <w:kern w:val="0"/>
                <w:szCs w:val="21"/>
              </w:rPr>
              <w:t>出院患者随访及治疗效果评价结果</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查看相关资料及随访记录</w:t>
            </w:r>
          </w:p>
        </w:tc>
        <w:tc>
          <w:tcPr>
            <w:tcW w:w="4481" w:type="dxa"/>
            <w:tcMar>
              <w:top w:w="15" w:type="dxa"/>
              <w:left w:w="15" w:type="dxa"/>
              <w:bottom w:w="0" w:type="dxa"/>
              <w:right w:w="15" w:type="dxa"/>
            </w:tcMar>
            <w:vAlign w:val="center"/>
          </w:tcPr>
          <w:p w:rsidR="00070B40" w:rsidRDefault="00EC383B">
            <w:pPr>
              <w:rPr>
                <w:rFonts w:ascii="宋体" w:hAnsi="宋体"/>
                <w:bCs/>
                <w:snapToGrid w:val="0"/>
                <w:color w:val="000000"/>
                <w:kern w:val="0"/>
                <w:szCs w:val="21"/>
              </w:rPr>
            </w:pPr>
            <w:r>
              <w:rPr>
                <w:rFonts w:ascii="宋体" w:hAnsi="宋体" w:hint="eastAsia"/>
                <w:bCs/>
                <w:snapToGrid w:val="0"/>
                <w:color w:val="000000"/>
                <w:kern w:val="0"/>
                <w:szCs w:val="21"/>
              </w:rPr>
              <w:t>未建立患者随访制度，扣5分，重点病种的出院患者随访率＜50%,扣5分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rPr>
                <w:rFonts w:ascii="宋体" w:hAnsi="宋体"/>
                <w:b/>
                <w:bCs/>
                <w:i/>
                <w:snapToGrid w:val="0"/>
                <w:color w:val="000000"/>
                <w:szCs w:val="21"/>
              </w:rPr>
            </w:pPr>
            <w:r>
              <w:rPr>
                <w:rFonts w:ascii="宋体" w:hAnsi="宋体" w:hint="eastAsia"/>
                <w:bCs/>
                <w:snapToGrid w:val="0"/>
                <w:color w:val="000000"/>
                <w:szCs w:val="21"/>
              </w:rPr>
              <w:t>择期手术患者术前平均住院日</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随机抽查10份病历</w:t>
            </w:r>
          </w:p>
        </w:tc>
        <w:tc>
          <w:tcPr>
            <w:tcW w:w="4481" w:type="dxa"/>
            <w:tcMar>
              <w:top w:w="15" w:type="dxa"/>
              <w:left w:w="15" w:type="dxa"/>
              <w:bottom w:w="0" w:type="dxa"/>
              <w:right w:w="15" w:type="dxa"/>
            </w:tcMar>
            <w:vAlign w:val="center"/>
          </w:tcPr>
          <w:p w:rsidR="00070B40" w:rsidRDefault="00EC383B">
            <w:pPr>
              <w:rPr>
                <w:rFonts w:ascii="宋体" w:hAnsi="宋体"/>
                <w:bCs/>
                <w:snapToGrid w:val="0"/>
                <w:color w:val="FF0000"/>
                <w:kern w:val="0"/>
                <w:szCs w:val="21"/>
              </w:rPr>
            </w:pPr>
            <w:r>
              <w:rPr>
                <w:rFonts w:ascii="宋体" w:hAnsi="宋体" w:hint="eastAsia"/>
                <w:bCs/>
                <w:snapToGrid w:val="0"/>
                <w:kern w:val="0"/>
                <w:szCs w:val="21"/>
              </w:rPr>
              <w:t>根据医院的年出院人次、疑难危重症比例、以及诊疗效果（综合好转率、死亡率、并发症或合并症发生率）进行综合打分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医护人员熟练掌握“三基”知识</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20</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现场随机抽查医生、护士各2名进行理论和技术操作的考核</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1人不合格扣5分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snapToGrid w:val="0"/>
                <w:color w:val="000000"/>
                <w:kern w:val="0"/>
                <w:szCs w:val="21"/>
              </w:rPr>
              <w:t>基础护理、危重患者护理合格率≥95%</w:t>
            </w:r>
          </w:p>
        </w:tc>
        <w:tc>
          <w:tcPr>
            <w:tcW w:w="720" w:type="dxa"/>
            <w:tcMar>
              <w:top w:w="15" w:type="dxa"/>
              <w:left w:w="15" w:type="dxa"/>
              <w:bottom w:w="0" w:type="dxa"/>
              <w:right w:w="15" w:type="dxa"/>
            </w:tcMar>
            <w:vAlign w:val="center"/>
          </w:tcPr>
          <w:p w:rsidR="00070B40" w:rsidRDefault="00EC383B">
            <w:pPr>
              <w:adjustRightInd w:val="0"/>
              <w:snapToGrid w:val="0"/>
              <w:spacing w:line="240" w:lineRule="exact"/>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查资料</w:t>
            </w:r>
          </w:p>
        </w:tc>
        <w:tc>
          <w:tcPr>
            <w:tcW w:w="4481"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每下降1%扣2分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rPr>
                <w:rFonts w:ascii="宋体" w:hAnsi="宋体"/>
                <w:bCs/>
                <w:snapToGrid w:val="0"/>
                <w:color w:val="000000"/>
                <w:kern w:val="0"/>
                <w:szCs w:val="21"/>
              </w:rPr>
            </w:pPr>
            <w:r>
              <w:rPr>
                <w:rFonts w:ascii="宋体" w:hAnsi="宋体" w:hint="eastAsia"/>
                <w:bCs/>
                <w:snapToGrid w:val="0"/>
                <w:color w:val="000000"/>
                <w:kern w:val="0"/>
                <w:szCs w:val="21"/>
              </w:rPr>
              <w:t>预防和控制医院感染相关制度的建立及执行情况</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10</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查看相关资料</w:t>
            </w:r>
          </w:p>
        </w:tc>
        <w:tc>
          <w:tcPr>
            <w:tcW w:w="4481" w:type="dxa"/>
            <w:tcMar>
              <w:top w:w="15" w:type="dxa"/>
              <w:left w:w="15" w:type="dxa"/>
              <w:bottom w:w="0" w:type="dxa"/>
              <w:right w:w="15" w:type="dxa"/>
            </w:tcMar>
            <w:vAlign w:val="center"/>
          </w:tcPr>
          <w:p w:rsidR="00070B40" w:rsidRDefault="00EC383B">
            <w:pPr>
              <w:rPr>
                <w:rFonts w:ascii="宋体" w:hAnsi="宋体"/>
                <w:bCs/>
                <w:snapToGrid w:val="0"/>
                <w:color w:val="000000"/>
                <w:kern w:val="0"/>
                <w:szCs w:val="21"/>
              </w:rPr>
            </w:pPr>
            <w:r>
              <w:rPr>
                <w:rFonts w:ascii="宋体" w:hAnsi="宋体" w:hint="eastAsia"/>
                <w:bCs/>
                <w:snapToGrid w:val="0"/>
                <w:color w:val="000000"/>
                <w:kern w:val="0"/>
                <w:szCs w:val="21"/>
              </w:rPr>
              <w:t>制度健全、落实到位得10分。有1项缺项或1处不落实扣3分</w:t>
            </w:r>
          </w:p>
        </w:tc>
      </w:tr>
      <w:tr w:rsidR="00070B40">
        <w:trPr>
          <w:trHeight w:val="340"/>
          <w:jc w:val="center"/>
        </w:trPr>
        <w:tc>
          <w:tcPr>
            <w:tcW w:w="5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19</w:t>
            </w:r>
          </w:p>
        </w:tc>
        <w:tc>
          <w:tcPr>
            <w:tcW w:w="678" w:type="dxa"/>
            <w:tcMar>
              <w:top w:w="15" w:type="dxa"/>
              <w:left w:w="15" w:type="dxa"/>
              <w:bottom w:w="0" w:type="dxa"/>
              <w:right w:w="15" w:type="dxa"/>
            </w:tcMar>
            <w:vAlign w:val="center"/>
          </w:tcPr>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满意度评价</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20分</w:t>
            </w:r>
          </w:p>
        </w:tc>
        <w:tc>
          <w:tcPr>
            <w:tcW w:w="3474"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bCs/>
                <w:snapToGrid w:val="0"/>
                <w:color w:val="000000"/>
                <w:kern w:val="0"/>
                <w:szCs w:val="21"/>
              </w:rPr>
            </w:pPr>
            <w:r>
              <w:rPr>
                <w:rFonts w:ascii="宋体" w:hAnsi="宋体" w:hint="eastAsia"/>
                <w:snapToGrid w:val="0"/>
                <w:color w:val="000000"/>
                <w:kern w:val="0"/>
                <w:szCs w:val="21"/>
              </w:rPr>
              <w:t>病人满意度调查大于95%</w:t>
            </w:r>
          </w:p>
        </w:tc>
        <w:tc>
          <w:tcPr>
            <w:tcW w:w="720" w:type="dxa"/>
            <w:tcMar>
              <w:top w:w="15" w:type="dxa"/>
              <w:left w:w="15" w:type="dxa"/>
              <w:bottom w:w="0" w:type="dxa"/>
              <w:right w:w="15" w:type="dxa"/>
            </w:tcMar>
            <w:vAlign w:val="center"/>
          </w:tcPr>
          <w:p w:rsidR="00070B40" w:rsidRDefault="00EC383B">
            <w:pPr>
              <w:adjustRightInd w:val="0"/>
              <w:snapToGrid w:val="0"/>
              <w:spacing w:line="240" w:lineRule="exact"/>
              <w:jc w:val="center"/>
              <w:rPr>
                <w:rFonts w:ascii="宋体" w:hAnsi="宋体"/>
                <w:snapToGrid w:val="0"/>
                <w:color w:val="000000"/>
                <w:kern w:val="0"/>
                <w:szCs w:val="21"/>
              </w:rPr>
            </w:pPr>
            <w:r>
              <w:rPr>
                <w:rFonts w:ascii="宋体" w:hAnsi="宋体" w:hint="eastAsia"/>
                <w:snapToGrid w:val="0"/>
                <w:color w:val="000000"/>
                <w:kern w:val="0"/>
                <w:szCs w:val="21"/>
              </w:rPr>
              <w:t>20</w:t>
            </w:r>
          </w:p>
        </w:tc>
        <w:tc>
          <w:tcPr>
            <w:tcW w:w="4680"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随机调查30名病人</w:t>
            </w:r>
          </w:p>
        </w:tc>
        <w:tc>
          <w:tcPr>
            <w:tcW w:w="4481" w:type="dxa"/>
            <w:tcMar>
              <w:top w:w="15" w:type="dxa"/>
              <w:left w:w="15" w:type="dxa"/>
              <w:bottom w:w="0" w:type="dxa"/>
              <w:right w:w="15" w:type="dxa"/>
            </w:tcMar>
            <w:vAlign w:val="center"/>
          </w:tcPr>
          <w:p w:rsidR="00070B40" w:rsidRDefault="00EC383B">
            <w:pPr>
              <w:adjustRightInd w:val="0"/>
              <w:snapToGrid w:val="0"/>
              <w:spacing w:line="240" w:lineRule="exact"/>
              <w:rPr>
                <w:rFonts w:ascii="宋体" w:hAnsi="宋体"/>
                <w:snapToGrid w:val="0"/>
                <w:color w:val="000000"/>
                <w:kern w:val="0"/>
                <w:szCs w:val="21"/>
              </w:rPr>
            </w:pPr>
            <w:r>
              <w:rPr>
                <w:rFonts w:ascii="宋体" w:hAnsi="宋体" w:hint="eastAsia"/>
                <w:snapToGrid w:val="0"/>
                <w:color w:val="000000"/>
                <w:kern w:val="0"/>
                <w:szCs w:val="21"/>
              </w:rPr>
              <w:t>满意度低于95%，每降低1%扣3分，低于90%不得分</w:t>
            </w:r>
          </w:p>
        </w:tc>
      </w:tr>
      <w:tr w:rsidR="00070B40">
        <w:trPr>
          <w:trHeight w:val="340"/>
          <w:jc w:val="center"/>
        </w:trPr>
        <w:tc>
          <w:tcPr>
            <w:tcW w:w="5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五</w:t>
            </w:r>
          </w:p>
        </w:tc>
        <w:tc>
          <w:tcPr>
            <w:tcW w:w="4152" w:type="dxa"/>
            <w:gridSpan w:val="2"/>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科研与教学</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90</w:t>
            </w:r>
          </w:p>
        </w:tc>
        <w:tc>
          <w:tcPr>
            <w:tcW w:w="9161" w:type="dxa"/>
            <w:gridSpan w:val="2"/>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r>
      <w:tr w:rsidR="00070B40">
        <w:trPr>
          <w:trHeight w:val="1085"/>
          <w:jc w:val="center"/>
        </w:trPr>
        <w:tc>
          <w:tcPr>
            <w:tcW w:w="520"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20</w:t>
            </w:r>
          </w:p>
        </w:tc>
        <w:tc>
          <w:tcPr>
            <w:tcW w:w="678"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学术</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影响</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21分</w:t>
            </w: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学术委员会任职情况</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8</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查颁发的聘书。一人担任数职，以最高学术职称登记一次，学科多人担任职务，累加记分，最高分不超过标准分</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全国主委8分、副主委7分，常委6分，委员3分；省主委6分，副主委5分，常委4分、委员2分；市主委4分，副主委1分</w:t>
            </w:r>
          </w:p>
        </w:tc>
      </w:tr>
      <w:tr w:rsidR="00070B40">
        <w:trPr>
          <w:trHeight w:val="167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学术刊物任职情况</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7</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查杂志编辑部颁发的聘书。一人担任数职，以最高学术职称登记一次，学科多人担任职务，累加记分，最高不超过标准分</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SCI收录杂志的主编7分、副主编6分，常务编委5分，编委3分；中华医学会系列杂志主编4分、副主编3分，常务编委2分，编委1分；统计源杂志主编、副主编2分，常务编委、编委1分</w:t>
            </w:r>
          </w:p>
        </w:tc>
      </w:tr>
      <w:tr w:rsidR="00070B40">
        <w:trPr>
          <w:trHeight w:val="1193"/>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举办学术会议情况</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6</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查评审前3年内会议通知、签到表及相关材料，多次承办或主办本专科的会议可累加计分，最高不超过标准分</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国际性学术会议6分；全国性学术会议4分；省级学术会议3分；市级学术会议1分</w:t>
            </w:r>
          </w:p>
        </w:tc>
      </w:tr>
      <w:tr w:rsidR="00070B40">
        <w:trPr>
          <w:trHeight w:val="340"/>
          <w:jc w:val="center"/>
        </w:trPr>
        <w:tc>
          <w:tcPr>
            <w:tcW w:w="520"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21</w:t>
            </w:r>
          </w:p>
        </w:tc>
        <w:tc>
          <w:tcPr>
            <w:tcW w:w="678"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科研</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项目</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15分</w:t>
            </w: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国家级项目</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8</w:t>
            </w:r>
          </w:p>
        </w:tc>
        <w:tc>
          <w:tcPr>
            <w:tcW w:w="4680" w:type="dxa"/>
            <w:vMerge w:val="restart"/>
            <w:tcMar>
              <w:top w:w="15" w:type="dxa"/>
              <w:left w:w="15" w:type="dxa"/>
              <w:bottom w:w="0" w:type="dxa"/>
              <w:right w:w="15" w:type="dxa"/>
            </w:tcMar>
            <w:vAlign w:val="center"/>
          </w:tcPr>
          <w:p w:rsidR="00070B40" w:rsidRDefault="00EC383B">
            <w:pPr>
              <w:pStyle w:val="a3"/>
              <w:adjustRightInd w:val="0"/>
              <w:snapToGrid w:val="0"/>
              <w:rPr>
                <w:b w:val="0"/>
                <w:snapToGrid w:val="0"/>
                <w:color w:val="000000"/>
                <w:kern w:val="0"/>
                <w:sz w:val="21"/>
                <w:szCs w:val="21"/>
              </w:rPr>
            </w:pPr>
            <w:r>
              <w:rPr>
                <w:rFonts w:hint="eastAsia"/>
                <w:b w:val="0"/>
                <w:snapToGrid w:val="0"/>
                <w:color w:val="000000"/>
                <w:kern w:val="0"/>
                <w:sz w:val="21"/>
                <w:szCs w:val="21"/>
              </w:rPr>
              <w:t>查评审前3年内第一作者获得项目的批件。可累积计分，总分不超过标准分</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有1项得8分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部、省级项目</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5</w:t>
            </w:r>
          </w:p>
        </w:tc>
        <w:tc>
          <w:tcPr>
            <w:tcW w:w="4680" w:type="dxa"/>
            <w:vMerge/>
            <w:tcMar>
              <w:top w:w="15" w:type="dxa"/>
              <w:left w:w="15" w:type="dxa"/>
              <w:bottom w:w="0" w:type="dxa"/>
              <w:right w:w="15" w:type="dxa"/>
            </w:tcMar>
            <w:vAlign w:val="center"/>
          </w:tcPr>
          <w:p w:rsidR="00070B40" w:rsidRDefault="00070B40">
            <w:pPr>
              <w:adjustRightInd w:val="0"/>
              <w:snapToGrid w:val="0"/>
              <w:rPr>
                <w:rFonts w:ascii="宋体" w:hAnsi="宋体"/>
                <w:snapToGrid w:val="0"/>
                <w:color w:val="000000"/>
                <w:kern w:val="0"/>
                <w:szCs w:val="21"/>
              </w:rPr>
            </w:pP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有1项得5分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市、州级项目</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2</w:t>
            </w:r>
          </w:p>
        </w:tc>
        <w:tc>
          <w:tcPr>
            <w:tcW w:w="4680" w:type="dxa"/>
            <w:vMerge/>
            <w:tcMar>
              <w:top w:w="15" w:type="dxa"/>
              <w:left w:w="15" w:type="dxa"/>
              <w:bottom w:w="0" w:type="dxa"/>
              <w:right w:w="15" w:type="dxa"/>
            </w:tcMar>
            <w:vAlign w:val="center"/>
          </w:tcPr>
          <w:p w:rsidR="00070B40" w:rsidRDefault="00070B40">
            <w:pPr>
              <w:adjustRightInd w:val="0"/>
              <w:snapToGrid w:val="0"/>
              <w:rPr>
                <w:rFonts w:ascii="宋体" w:hAnsi="宋体"/>
                <w:snapToGrid w:val="0"/>
                <w:color w:val="000000"/>
                <w:kern w:val="0"/>
                <w:szCs w:val="21"/>
              </w:rPr>
            </w:pP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有1项得2分</w:t>
            </w:r>
          </w:p>
        </w:tc>
      </w:tr>
      <w:tr w:rsidR="00070B40">
        <w:trPr>
          <w:trHeight w:val="340"/>
          <w:jc w:val="center"/>
        </w:trPr>
        <w:tc>
          <w:tcPr>
            <w:tcW w:w="520"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22</w:t>
            </w:r>
          </w:p>
        </w:tc>
        <w:tc>
          <w:tcPr>
            <w:tcW w:w="678"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临床</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方向</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科研</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成果</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23分</w:t>
            </w: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国家级、省级、市级科技奖励(一、二、三等)</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15</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w:t>
            </w:r>
            <w:r>
              <w:rPr>
                <w:rFonts w:hint="eastAsia"/>
                <w:snapToGrid w:val="0"/>
                <w:color w:val="000000"/>
                <w:kern w:val="0"/>
                <w:szCs w:val="21"/>
              </w:rPr>
              <w:t>评审前</w:t>
            </w:r>
            <w:r>
              <w:rPr>
                <w:rFonts w:hint="eastAsia"/>
                <w:snapToGrid w:val="0"/>
                <w:color w:val="000000"/>
                <w:kern w:val="0"/>
                <w:szCs w:val="21"/>
              </w:rPr>
              <w:t>3</w:t>
            </w:r>
            <w:r>
              <w:rPr>
                <w:rFonts w:hint="eastAsia"/>
                <w:snapToGrid w:val="0"/>
                <w:color w:val="000000"/>
                <w:kern w:val="0"/>
                <w:szCs w:val="21"/>
              </w:rPr>
              <w:t>年内</w:t>
            </w:r>
            <w:r>
              <w:rPr>
                <w:rFonts w:ascii="宋体" w:hAnsi="宋体" w:hint="eastAsia"/>
                <w:snapToGrid w:val="0"/>
                <w:color w:val="000000"/>
                <w:kern w:val="0"/>
                <w:szCs w:val="21"/>
              </w:rPr>
              <w:t>获得成果的证书，可累积计分，不超过标准分</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国家级一等15分，二等12分，三等9分；省一等9分，二等7分，三等4分；市一等4分、二等3分、三等2分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发表SCI、中华医学系列杂志及统计源期刊</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8</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w:t>
            </w:r>
            <w:r>
              <w:rPr>
                <w:rFonts w:hint="eastAsia"/>
                <w:snapToGrid w:val="0"/>
                <w:color w:val="000000"/>
                <w:kern w:val="0"/>
                <w:szCs w:val="21"/>
              </w:rPr>
              <w:t>评审前</w:t>
            </w:r>
            <w:r>
              <w:rPr>
                <w:rFonts w:hint="eastAsia"/>
                <w:snapToGrid w:val="0"/>
                <w:color w:val="000000"/>
                <w:kern w:val="0"/>
                <w:szCs w:val="21"/>
              </w:rPr>
              <w:t>3</w:t>
            </w:r>
            <w:r>
              <w:rPr>
                <w:rFonts w:hint="eastAsia"/>
                <w:snapToGrid w:val="0"/>
                <w:color w:val="000000"/>
                <w:kern w:val="0"/>
                <w:szCs w:val="21"/>
              </w:rPr>
              <w:t>年内</w:t>
            </w:r>
            <w:r>
              <w:rPr>
                <w:rFonts w:ascii="宋体" w:hAnsi="宋体" w:hint="eastAsia"/>
                <w:snapToGrid w:val="0"/>
                <w:color w:val="000000"/>
                <w:kern w:val="0"/>
                <w:szCs w:val="21"/>
              </w:rPr>
              <w:t>发表本专业相关论著，可累积计分，不超过标准分</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发表SCI每篇3分；中华医学会系列杂志2分；统计源杂志1分</w:t>
            </w:r>
          </w:p>
        </w:tc>
      </w:tr>
      <w:tr w:rsidR="00070B40">
        <w:trPr>
          <w:trHeight w:val="340"/>
          <w:jc w:val="center"/>
        </w:trPr>
        <w:tc>
          <w:tcPr>
            <w:tcW w:w="520"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23</w:t>
            </w:r>
          </w:p>
        </w:tc>
        <w:tc>
          <w:tcPr>
            <w:tcW w:w="678"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继续</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医学</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教育</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15分</w:t>
            </w: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国家级、省级(甲类)、市级(乙类)继续教育项目；深入基层举办继续教育项目(学习班、论坛)</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12</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w:t>
            </w:r>
            <w:r>
              <w:rPr>
                <w:rFonts w:hint="eastAsia"/>
                <w:snapToGrid w:val="0"/>
                <w:color w:val="000000"/>
                <w:kern w:val="0"/>
                <w:szCs w:val="21"/>
              </w:rPr>
              <w:t>评审前</w:t>
            </w:r>
            <w:r>
              <w:rPr>
                <w:rFonts w:hint="eastAsia"/>
                <w:snapToGrid w:val="0"/>
                <w:color w:val="000000"/>
                <w:kern w:val="0"/>
                <w:szCs w:val="21"/>
              </w:rPr>
              <w:t>3</w:t>
            </w:r>
            <w:r>
              <w:rPr>
                <w:rFonts w:hint="eastAsia"/>
                <w:snapToGrid w:val="0"/>
                <w:color w:val="000000"/>
                <w:kern w:val="0"/>
                <w:szCs w:val="21"/>
              </w:rPr>
              <w:t>年内</w:t>
            </w:r>
            <w:r>
              <w:rPr>
                <w:rFonts w:ascii="宋体" w:hAnsi="宋体" w:hint="eastAsia"/>
                <w:snapToGrid w:val="0"/>
                <w:color w:val="000000"/>
                <w:kern w:val="0"/>
                <w:szCs w:val="21"/>
              </w:rPr>
              <w:t>获批文件、项目开展记录情况，同一项目不重复计分，不同项目可累积计分，培训班以讲学材料和学员签到表为准</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国家级一项次5分，省级一项次2分，市级一项次1分，</w:t>
            </w:r>
            <w:r>
              <w:rPr>
                <w:rFonts w:ascii="宋体" w:hAnsi="宋体" w:hint="eastAsia"/>
                <w:bCs/>
                <w:snapToGrid w:val="0"/>
                <w:color w:val="000000"/>
                <w:kern w:val="0"/>
                <w:szCs w:val="21"/>
              </w:rPr>
              <w:t>举办培训班1次1分；可累积计分，总分不超过标准分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住院医师规范化培训</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3</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查</w:t>
            </w:r>
            <w:r>
              <w:rPr>
                <w:rFonts w:hint="eastAsia"/>
                <w:snapToGrid w:val="0"/>
                <w:color w:val="000000"/>
                <w:kern w:val="0"/>
                <w:szCs w:val="21"/>
              </w:rPr>
              <w:t>评审前</w:t>
            </w:r>
            <w:r>
              <w:rPr>
                <w:rFonts w:hint="eastAsia"/>
                <w:snapToGrid w:val="0"/>
                <w:color w:val="000000"/>
                <w:kern w:val="0"/>
                <w:szCs w:val="21"/>
              </w:rPr>
              <w:t>3</w:t>
            </w:r>
            <w:r>
              <w:rPr>
                <w:rFonts w:hint="eastAsia"/>
                <w:snapToGrid w:val="0"/>
                <w:color w:val="000000"/>
                <w:kern w:val="0"/>
                <w:szCs w:val="21"/>
              </w:rPr>
              <w:t>年内</w:t>
            </w:r>
            <w:r>
              <w:rPr>
                <w:rFonts w:ascii="宋体" w:hAnsi="宋体" w:hint="eastAsia"/>
                <w:bCs/>
                <w:snapToGrid w:val="0"/>
                <w:color w:val="000000"/>
                <w:kern w:val="0"/>
                <w:szCs w:val="21"/>
              </w:rPr>
              <w:t>培养规范化医师人数、合格率</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bCs/>
                <w:snapToGrid w:val="0"/>
                <w:color w:val="000000"/>
                <w:kern w:val="0"/>
                <w:szCs w:val="21"/>
              </w:rPr>
            </w:pPr>
            <w:r>
              <w:rPr>
                <w:rFonts w:ascii="宋体" w:hAnsi="宋体" w:hint="eastAsia"/>
                <w:bCs/>
                <w:snapToGrid w:val="0"/>
                <w:color w:val="000000"/>
                <w:kern w:val="0"/>
                <w:szCs w:val="21"/>
              </w:rPr>
              <w:t>未获得规范化医师培训基地，不得分。培养合格率&lt;95分；每低5个百分点，扣1分</w:t>
            </w:r>
          </w:p>
        </w:tc>
      </w:tr>
      <w:tr w:rsidR="00070B40">
        <w:trPr>
          <w:trHeight w:val="340"/>
          <w:jc w:val="center"/>
        </w:trPr>
        <w:tc>
          <w:tcPr>
            <w:tcW w:w="5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24</w:t>
            </w:r>
          </w:p>
        </w:tc>
        <w:tc>
          <w:tcPr>
            <w:tcW w:w="678" w:type="dxa"/>
            <w:tcMar>
              <w:top w:w="15" w:type="dxa"/>
              <w:left w:w="15" w:type="dxa"/>
              <w:bottom w:w="0" w:type="dxa"/>
              <w:right w:w="15" w:type="dxa"/>
            </w:tcMar>
            <w:vAlign w:val="center"/>
          </w:tcPr>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接受</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进修</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4分</w:t>
            </w: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接受外单位在职人员进修(进修以半年以上人员为准，且每年≥2名)</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4</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查评评审前3年内资料，进修人员以申请表和进修人员学历证明为准</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未接受不得分；每少一名扣2分</w:t>
            </w:r>
          </w:p>
        </w:tc>
      </w:tr>
      <w:tr w:rsidR="00070B40">
        <w:trPr>
          <w:trHeight w:val="340"/>
          <w:jc w:val="center"/>
        </w:trPr>
        <w:tc>
          <w:tcPr>
            <w:tcW w:w="520"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lastRenderedPageBreak/>
              <w:t>25</w:t>
            </w:r>
          </w:p>
        </w:tc>
        <w:tc>
          <w:tcPr>
            <w:tcW w:w="678" w:type="dxa"/>
            <w:vMerge w:val="restart"/>
            <w:tcMar>
              <w:top w:w="15" w:type="dxa"/>
              <w:left w:w="15" w:type="dxa"/>
              <w:bottom w:w="0" w:type="dxa"/>
              <w:right w:w="15" w:type="dxa"/>
            </w:tcMar>
            <w:vAlign w:val="center"/>
          </w:tcPr>
          <w:p w:rsidR="00070B40" w:rsidRDefault="00EC383B">
            <w:pPr>
              <w:adjustRightInd w:val="0"/>
              <w:snapToGrid w:val="0"/>
              <w:jc w:val="center"/>
              <w:rPr>
                <w:rFonts w:ascii="宋体" w:hAnsi="宋体"/>
                <w:snapToGrid w:val="0"/>
                <w:kern w:val="0"/>
                <w:szCs w:val="21"/>
              </w:rPr>
            </w:pPr>
            <w:r>
              <w:rPr>
                <w:rFonts w:ascii="宋体" w:hAnsi="宋体" w:hint="eastAsia"/>
                <w:snapToGrid w:val="0"/>
                <w:kern w:val="0"/>
                <w:szCs w:val="21"/>
              </w:rPr>
              <w:t>学生</w:t>
            </w:r>
          </w:p>
          <w:p w:rsidR="00070B40" w:rsidRDefault="00EC383B">
            <w:pPr>
              <w:adjustRightInd w:val="0"/>
              <w:snapToGrid w:val="0"/>
              <w:jc w:val="center"/>
              <w:rPr>
                <w:rFonts w:ascii="宋体" w:hAnsi="宋体"/>
                <w:snapToGrid w:val="0"/>
                <w:kern w:val="0"/>
                <w:szCs w:val="21"/>
              </w:rPr>
            </w:pPr>
            <w:r>
              <w:rPr>
                <w:rFonts w:ascii="宋体" w:hAnsi="宋体" w:hint="eastAsia"/>
                <w:snapToGrid w:val="0"/>
                <w:kern w:val="0"/>
                <w:szCs w:val="21"/>
              </w:rPr>
              <w:t>教育</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snapToGrid w:val="0"/>
                <w:kern w:val="0"/>
                <w:szCs w:val="21"/>
              </w:rPr>
              <w:t>5分</w:t>
            </w: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kern w:val="0"/>
                <w:szCs w:val="21"/>
              </w:rPr>
              <w:t>承担有本科医学生临床教学任务</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kern w:val="0"/>
                <w:szCs w:val="21"/>
              </w:rPr>
              <w:t>3</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kern w:val="0"/>
                <w:szCs w:val="21"/>
              </w:rPr>
              <w:t>查评审前3年内资料，临床教学不少于本课时的80%，查教案和实习轮转表</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kern w:val="0"/>
                <w:szCs w:val="21"/>
              </w:rPr>
              <w:t>未承担者不得分，无临床授课扣2分，无实习、见习扣1分</w:t>
            </w:r>
          </w:p>
        </w:tc>
      </w:tr>
      <w:tr w:rsidR="00070B40">
        <w:trPr>
          <w:trHeight w:val="340"/>
          <w:jc w:val="center"/>
        </w:trPr>
        <w:tc>
          <w:tcPr>
            <w:tcW w:w="520" w:type="dxa"/>
            <w:vMerge/>
            <w:tcMar>
              <w:top w:w="15" w:type="dxa"/>
              <w:left w:w="15" w:type="dxa"/>
              <w:bottom w:w="0" w:type="dxa"/>
              <w:right w:w="15" w:type="dxa"/>
            </w:tcMar>
            <w:vAlign w:val="center"/>
          </w:tcPr>
          <w:p w:rsidR="00070B40" w:rsidRDefault="00070B40">
            <w:pPr>
              <w:adjustRightInd w:val="0"/>
              <w:snapToGrid w:val="0"/>
              <w:jc w:val="center"/>
              <w:rPr>
                <w:rFonts w:ascii="宋体" w:hAnsi="宋体"/>
                <w:snapToGrid w:val="0"/>
                <w:color w:val="000000"/>
                <w:kern w:val="0"/>
                <w:szCs w:val="21"/>
              </w:rPr>
            </w:pPr>
          </w:p>
        </w:tc>
        <w:tc>
          <w:tcPr>
            <w:tcW w:w="678" w:type="dxa"/>
            <w:vMerge/>
            <w:tcMar>
              <w:top w:w="15" w:type="dxa"/>
              <w:left w:w="15" w:type="dxa"/>
              <w:bottom w:w="0" w:type="dxa"/>
              <w:right w:w="15" w:type="dxa"/>
            </w:tcMar>
            <w:vAlign w:val="center"/>
          </w:tcPr>
          <w:p w:rsidR="00070B40" w:rsidRDefault="00070B40">
            <w:pPr>
              <w:adjustRightInd w:val="0"/>
              <w:snapToGrid w:val="0"/>
              <w:jc w:val="center"/>
              <w:rPr>
                <w:rFonts w:ascii="宋体" w:hAnsi="宋体"/>
                <w:bCs/>
                <w:snapToGrid w:val="0"/>
                <w:color w:val="000000"/>
                <w:kern w:val="0"/>
                <w:szCs w:val="21"/>
              </w:rPr>
            </w:pP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承担有研究生培养任务</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2</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kern w:val="0"/>
                <w:szCs w:val="21"/>
              </w:rPr>
              <w:t>专科所在的二级或三级学科是硕士学位授予点</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kern w:val="0"/>
                <w:szCs w:val="21"/>
              </w:rPr>
              <w:t>无硕士学位授予点不得分</w:t>
            </w:r>
          </w:p>
        </w:tc>
      </w:tr>
      <w:tr w:rsidR="00070B40">
        <w:trPr>
          <w:trHeight w:val="340"/>
          <w:jc w:val="center"/>
        </w:trPr>
        <w:tc>
          <w:tcPr>
            <w:tcW w:w="5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26</w:t>
            </w:r>
          </w:p>
        </w:tc>
        <w:tc>
          <w:tcPr>
            <w:tcW w:w="678" w:type="dxa"/>
            <w:tcMar>
              <w:top w:w="15" w:type="dxa"/>
              <w:left w:w="15" w:type="dxa"/>
              <w:bottom w:w="0" w:type="dxa"/>
              <w:right w:w="15" w:type="dxa"/>
            </w:tcMar>
            <w:vAlign w:val="center"/>
          </w:tcPr>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编写</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教材</w:t>
            </w:r>
          </w:p>
          <w:p w:rsidR="00070B40" w:rsidRDefault="00EC383B">
            <w:pPr>
              <w:adjustRightInd w:val="0"/>
              <w:snapToGrid w:val="0"/>
              <w:jc w:val="center"/>
              <w:rPr>
                <w:rFonts w:ascii="宋体" w:hAnsi="宋体"/>
                <w:bCs/>
                <w:snapToGrid w:val="0"/>
                <w:color w:val="000000"/>
                <w:kern w:val="0"/>
                <w:szCs w:val="21"/>
              </w:rPr>
            </w:pPr>
            <w:r>
              <w:rPr>
                <w:rFonts w:ascii="宋体" w:hAnsi="宋体" w:hint="eastAsia"/>
                <w:bCs/>
                <w:snapToGrid w:val="0"/>
                <w:color w:val="000000"/>
                <w:kern w:val="0"/>
                <w:szCs w:val="21"/>
              </w:rPr>
              <w:t>7分</w:t>
            </w:r>
          </w:p>
        </w:tc>
        <w:tc>
          <w:tcPr>
            <w:tcW w:w="3474"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参编教材</w:t>
            </w:r>
          </w:p>
        </w:tc>
        <w:tc>
          <w:tcPr>
            <w:tcW w:w="720" w:type="dxa"/>
            <w:tcMar>
              <w:top w:w="15" w:type="dxa"/>
              <w:left w:w="15" w:type="dxa"/>
              <w:bottom w:w="0" w:type="dxa"/>
              <w:right w:w="15" w:type="dxa"/>
            </w:tcMar>
            <w:vAlign w:val="center"/>
          </w:tcPr>
          <w:p w:rsidR="00070B40" w:rsidRDefault="00EC383B">
            <w:pPr>
              <w:adjustRightInd w:val="0"/>
              <w:snapToGrid w:val="0"/>
              <w:jc w:val="center"/>
              <w:rPr>
                <w:rFonts w:ascii="宋体" w:hAnsi="宋体"/>
                <w:snapToGrid w:val="0"/>
                <w:color w:val="000000"/>
                <w:kern w:val="0"/>
                <w:szCs w:val="21"/>
              </w:rPr>
            </w:pPr>
            <w:r>
              <w:rPr>
                <w:rFonts w:ascii="宋体" w:hAnsi="宋体" w:hint="eastAsia"/>
                <w:snapToGrid w:val="0"/>
                <w:color w:val="000000"/>
                <w:kern w:val="0"/>
                <w:szCs w:val="21"/>
              </w:rPr>
              <w:t>7</w:t>
            </w:r>
          </w:p>
        </w:tc>
        <w:tc>
          <w:tcPr>
            <w:tcW w:w="4680"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参加教育部、卫生部普通高等院校规划教材编写工作，可累积计分，总分不超过标准分</w:t>
            </w:r>
          </w:p>
        </w:tc>
        <w:tc>
          <w:tcPr>
            <w:tcW w:w="4481" w:type="dxa"/>
            <w:tcMar>
              <w:top w:w="15" w:type="dxa"/>
              <w:left w:w="15" w:type="dxa"/>
              <w:bottom w:w="0" w:type="dxa"/>
              <w:right w:w="15" w:type="dxa"/>
            </w:tcMar>
            <w:vAlign w:val="center"/>
          </w:tcPr>
          <w:p w:rsidR="00070B40" w:rsidRDefault="00EC383B">
            <w:pPr>
              <w:adjustRightInd w:val="0"/>
              <w:snapToGrid w:val="0"/>
              <w:rPr>
                <w:rFonts w:ascii="宋体" w:hAnsi="宋体"/>
                <w:snapToGrid w:val="0"/>
                <w:color w:val="000000"/>
                <w:kern w:val="0"/>
                <w:szCs w:val="21"/>
              </w:rPr>
            </w:pPr>
            <w:r>
              <w:rPr>
                <w:rFonts w:ascii="宋体" w:hAnsi="宋体" w:hint="eastAsia"/>
                <w:snapToGrid w:val="0"/>
                <w:color w:val="000000"/>
                <w:kern w:val="0"/>
                <w:szCs w:val="21"/>
              </w:rPr>
              <w:t>主编5分、副主编3分,编委1分</w:t>
            </w:r>
          </w:p>
        </w:tc>
      </w:tr>
    </w:tbl>
    <w:p w:rsidR="00070B40" w:rsidRDefault="00EC383B">
      <w:pPr>
        <w:rPr>
          <w:rFonts w:ascii="宋体" w:hAnsi="宋体"/>
          <w:sz w:val="24"/>
        </w:rPr>
      </w:pPr>
      <w:r>
        <w:rPr>
          <w:rFonts w:ascii="宋体" w:hAnsi="宋体" w:hint="eastAsia"/>
          <w:sz w:val="24"/>
        </w:rPr>
        <w:t>注：总分1000分。每项得分不得超过标准分，扣分以扣完标准分为止。</w:t>
      </w:r>
    </w:p>
    <w:p w:rsidR="00070B40" w:rsidRDefault="00070B40"/>
    <w:sectPr w:rsidR="00070B40" w:rsidSect="00070B40">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0671" w:rsidRDefault="005F0671" w:rsidP="00A84414">
      <w:r>
        <w:separator/>
      </w:r>
    </w:p>
  </w:endnote>
  <w:endnote w:type="continuationSeparator" w:id="1">
    <w:p w:rsidR="005F0671" w:rsidRDefault="005F0671" w:rsidP="00A844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0671" w:rsidRDefault="005F0671" w:rsidP="00A84414">
      <w:r>
        <w:separator/>
      </w:r>
    </w:p>
  </w:footnote>
  <w:footnote w:type="continuationSeparator" w:id="1">
    <w:p w:rsidR="005F0671" w:rsidRDefault="005F0671" w:rsidP="00A8441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12F17"/>
    <w:rsid w:val="00070B40"/>
    <w:rsid w:val="000D281E"/>
    <w:rsid w:val="00155200"/>
    <w:rsid w:val="0017790C"/>
    <w:rsid w:val="001864C9"/>
    <w:rsid w:val="00405CD6"/>
    <w:rsid w:val="005B1D77"/>
    <w:rsid w:val="005B7320"/>
    <w:rsid w:val="005F0671"/>
    <w:rsid w:val="00604B67"/>
    <w:rsid w:val="00676AFD"/>
    <w:rsid w:val="007C2840"/>
    <w:rsid w:val="00811044"/>
    <w:rsid w:val="00812F17"/>
    <w:rsid w:val="00850A0E"/>
    <w:rsid w:val="00984BC5"/>
    <w:rsid w:val="009F1164"/>
    <w:rsid w:val="00A84414"/>
    <w:rsid w:val="00B939DF"/>
    <w:rsid w:val="00C71FF6"/>
    <w:rsid w:val="00CE4A59"/>
    <w:rsid w:val="00CF6417"/>
    <w:rsid w:val="00EC383B"/>
    <w:rsid w:val="0475696F"/>
    <w:rsid w:val="143C26FA"/>
    <w:rsid w:val="3B4C3603"/>
    <w:rsid w:val="551A03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0B40"/>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070B40"/>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070B40"/>
    <w:rPr>
      <w:rFonts w:ascii="宋体" w:hAnsi="宋体"/>
      <w:b/>
      <w:bCs/>
      <w:sz w:val="24"/>
    </w:rPr>
  </w:style>
  <w:style w:type="paragraph" w:styleId="a4">
    <w:name w:val="footer"/>
    <w:basedOn w:val="a"/>
    <w:link w:val="Char0"/>
    <w:uiPriority w:val="99"/>
    <w:unhideWhenUsed/>
    <w:qFormat/>
    <w:rsid w:val="00070B40"/>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rsid w:val="00070B4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
    <w:basedOn w:val="a0"/>
    <w:link w:val="a5"/>
    <w:uiPriority w:val="99"/>
    <w:semiHidden/>
    <w:qFormat/>
    <w:rsid w:val="00070B40"/>
    <w:rPr>
      <w:sz w:val="18"/>
      <w:szCs w:val="18"/>
    </w:rPr>
  </w:style>
  <w:style w:type="character" w:customStyle="1" w:styleId="Char0">
    <w:name w:val="页脚 Char"/>
    <w:basedOn w:val="a0"/>
    <w:link w:val="a4"/>
    <w:uiPriority w:val="99"/>
    <w:semiHidden/>
    <w:qFormat/>
    <w:rsid w:val="00070B40"/>
    <w:rPr>
      <w:sz w:val="18"/>
      <w:szCs w:val="18"/>
    </w:rPr>
  </w:style>
  <w:style w:type="character" w:customStyle="1" w:styleId="1Char">
    <w:name w:val="标题 1 Char"/>
    <w:basedOn w:val="a0"/>
    <w:link w:val="1"/>
    <w:uiPriority w:val="9"/>
    <w:qFormat/>
    <w:rsid w:val="00070B40"/>
    <w:rPr>
      <w:rFonts w:ascii="Times New Roman" w:eastAsia="宋体" w:hAnsi="Times New Roman" w:cs="Times New Roman"/>
      <w:b/>
      <w:bCs/>
      <w:kern w:val="44"/>
      <w:sz w:val="44"/>
      <w:szCs w:val="44"/>
    </w:rPr>
  </w:style>
  <w:style w:type="character" w:customStyle="1" w:styleId="Char">
    <w:name w:val="正文文本 Char"/>
    <w:basedOn w:val="a0"/>
    <w:link w:val="a3"/>
    <w:qFormat/>
    <w:rsid w:val="00070B40"/>
    <w:rPr>
      <w:rFonts w:ascii="宋体" w:eastAsia="宋体" w:hAnsi="宋体" w:cs="Times New Roman"/>
      <w:b/>
      <w:bCs/>
      <w:sz w:val="24"/>
      <w:szCs w:val="24"/>
    </w:rPr>
  </w:style>
  <w:style w:type="paragraph" w:styleId="a6">
    <w:name w:val="Balloon Text"/>
    <w:basedOn w:val="a"/>
    <w:link w:val="Char2"/>
    <w:uiPriority w:val="99"/>
    <w:semiHidden/>
    <w:unhideWhenUsed/>
    <w:rsid w:val="005B1D77"/>
    <w:rPr>
      <w:sz w:val="18"/>
      <w:szCs w:val="18"/>
    </w:rPr>
  </w:style>
  <w:style w:type="character" w:customStyle="1" w:styleId="Char2">
    <w:name w:val="批注框文本 Char"/>
    <w:basedOn w:val="a0"/>
    <w:link w:val="a6"/>
    <w:uiPriority w:val="99"/>
    <w:semiHidden/>
    <w:rsid w:val="005B1D77"/>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1075</Words>
  <Characters>6131</Characters>
  <Application>Microsoft Office Word</Application>
  <DocSecurity>0</DocSecurity>
  <Lines>51</Lines>
  <Paragraphs>14</Paragraphs>
  <ScaleCrop>false</ScaleCrop>
  <Company/>
  <LinksUpToDate>false</LinksUpToDate>
  <CharactersWithSpaces>7192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13</cp:revision>
  <dcterms:created xsi:type="dcterms:W3CDTF">2016-03-23T03:31:00Z</dcterms:created>
  <dcterms:modified xsi:type="dcterms:W3CDTF">2017-04-01T08:23:00Z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